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D4DE7">
      <w:pPr>
        <w:rPr>
          <w:rFonts w:hint="eastAsia" w:eastAsia="仿宋_GB2312"/>
          <w:sz w:val="30"/>
        </w:rPr>
      </w:pPr>
      <w:r>
        <w:rPr>
          <w:rFonts w:hint="eastAsia" w:ascii="黑体" w:hAnsi="黑体" w:eastAsia="黑体"/>
          <w:sz w:val="28"/>
          <w:szCs w:val="28"/>
        </w:rPr>
        <w:t>附件</w:t>
      </w:r>
      <w:r>
        <w:rPr>
          <w:rFonts w:hint="eastAsia" w:ascii="黑体" w:hAnsi="黑体" w:eastAsia="黑体"/>
          <w:sz w:val="28"/>
          <w:szCs w:val="28"/>
          <w:lang w:val="en-US" w:eastAsia="zh-CN"/>
        </w:rPr>
        <w:t>3</w:t>
      </w:r>
    </w:p>
    <w:p w14:paraId="56C9FB81">
      <w:pPr>
        <w:spacing w:line="360" w:lineRule="auto"/>
        <w:jc w:val="center"/>
        <w:rPr>
          <w:rFonts w:hint="eastAsia" w:ascii="方正小标宋简体" w:hAnsi="Times New Roman" w:eastAsia="方正小标宋简体" w:cs="Times New Roman"/>
          <w:sz w:val="44"/>
          <w:szCs w:val="44"/>
        </w:rPr>
      </w:pPr>
    </w:p>
    <w:p w14:paraId="60C54FF1">
      <w:pPr>
        <w:spacing w:line="360" w:lineRule="auto"/>
        <w:jc w:val="center"/>
        <w:rPr>
          <w:rFonts w:hint="eastAsia" w:ascii="方正小标宋简体" w:eastAsia="方正小标宋简体"/>
          <w:sz w:val="44"/>
          <w:szCs w:val="44"/>
        </w:rPr>
      </w:pPr>
      <w:r>
        <w:rPr>
          <w:rFonts w:hint="eastAsia" w:ascii="方正小标宋简体" w:hAnsi="Times New Roman" w:eastAsia="方正小标宋简体" w:cs="Times New Roman"/>
          <w:sz w:val="44"/>
          <w:szCs w:val="44"/>
          <w:lang w:val="en-US" w:eastAsia="zh-CN"/>
        </w:rPr>
        <w:t>林芝市公安</w:t>
      </w:r>
      <w:r>
        <w:rPr>
          <w:rFonts w:hint="eastAsia" w:ascii="方正小标宋简体" w:hAnsi="Times New Roman" w:eastAsia="方正小标宋简体" w:cs="Times New Roman"/>
          <w:sz w:val="44"/>
          <w:szCs w:val="44"/>
        </w:rPr>
        <w:t>整</w:t>
      </w:r>
      <w:r>
        <w:rPr>
          <w:rFonts w:hint="eastAsia" w:ascii="方正小标宋简体" w:eastAsia="方正小标宋简体"/>
          <w:sz w:val="44"/>
          <w:szCs w:val="44"/>
        </w:rPr>
        <w:t>体支出绩效自评报告</w:t>
      </w:r>
    </w:p>
    <w:p w14:paraId="337636EE">
      <w:pPr>
        <w:spacing w:line="360" w:lineRule="auto"/>
        <w:jc w:val="center"/>
        <w:rPr>
          <w:rFonts w:hint="eastAsia" w:ascii="楷体" w:hAnsi="楷体" w:eastAsia="楷体"/>
          <w:sz w:val="32"/>
          <w:szCs w:val="32"/>
        </w:rPr>
      </w:pPr>
      <w:r>
        <w:rPr>
          <w:rFonts w:hint="eastAsia" w:ascii="楷体" w:hAnsi="楷体" w:eastAsia="楷体"/>
          <w:sz w:val="32"/>
          <w:szCs w:val="32"/>
        </w:rPr>
        <w:t>（202</w:t>
      </w:r>
      <w:r>
        <w:rPr>
          <w:rFonts w:hint="eastAsia" w:ascii="楷体" w:hAnsi="楷体" w:eastAsia="楷体"/>
          <w:sz w:val="32"/>
          <w:szCs w:val="32"/>
          <w:lang w:val="en-US" w:eastAsia="zh-CN"/>
        </w:rPr>
        <w:t>5</w:t>
      </w:r>
      <w:r>
        <w:rPr>
          <w:rFonts w:hint="eastAsia" w:ascii="楷体" w:hAnsi="楷体" w:eastAsia="楷体"/>
          <w:sz w:val="32"/>
          <w:szCs w:val="32"/>
        </w:rPr>
        <w:t>年度）</w:t>
      </w:r>
    </w:p>
    <w:p w14:paraId="261032EC">
      <w:pPr>
        <w:spacing w:line="360" w:lineRule="auto"/>
        <w:jc w:val="center"/>
        <w:rPr>
          <w:rFonts w:hint="eastAsia" w:ascii="仿宋_GB2312" w:eastAsia="仿宋_GB2312"/>
          <w:sz w:val="32"/>
          <w:szCs w:val="32"/>
        </w:rPr>
      </w:pPr>
    </w:p>
    <w:p w14:paraId="3147423B">
      <w:pPr>
        <w:keepNext w:val="0"/>
        <w:keepLines w:val="0"/>
        <w:pageBreakBefore w:val="0"/>
        <w:kinsoku/>
        <w:wordWrap/>
        <w:overflowPunct/>
        <w:topLinePunct w:val="0"/>
        <w:autoSpaceDN/>
        <w:bidi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14:paraId="190598EA">
      <w:pPr>
        <w:keepNext w:val="0"/>
        <w:keepLines w:val="0"/>
        <w:pageBreakBefore w:val="0"/>
        <w:kinsoku/>
        <w:wordWrap/>
        <w:overflowPunct/>
        <w:topLinePunct w:val="0"/>
        <w:autoSpaceDN/>
        <w:bidi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（一）部门主要职责职能，组织架构、人员及资产等基本情况。</w:t>
      </w:r>
    </w:p>
    <w:p w14:paraId="3C2A22C6">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1．主要职能。</w:t>
      </w:r>
      <w:r>
        <w:rPr>
          <w:rFonts w:hint="eastAsia" w:ascii="仿宋" w:hAnsi="仿宋" w:eastAsia="仿宋" w:cs="仿宋"/>
          <w:color w:val="auto"/>
          <w:sz w:val="32"/>
          <w:szCs w:val="32"/>
        </w:rPr>
        <w:t>公安局承担公安机关的工作职责：预防、制止和侦查违法犯罪活动；防范、打击恐怖活动；维护社会治安秩序，制止危害社会治安秩序的行为；管理交通、消防、危险物品；管理户口、居民身份证、国籍、出入境事务和外国人在中国境内居留、旅行的有关事务；维护国（边）境地区的治安秩序；警卫国家规定的特定人员、守卫重要场所和设施；管理集会、游行和示威活动；监督管理公共信息网络安全监察工作；指导和监督国家机关、社会团体、企事业组织和重点建设工程的治安保卫工作，指导治安保卫委员会等群众性治安保卫组织的治安防范工作。</w:t>
      </w:r>
    </w:p>
    <w:p w14:paraId="78A5F461">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2．机构情况</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林芝市公安局为财政</w:t>
      </w:r>
      <w:r>
        <w:rPr>
          <w:rFonts w:hint="eastAsia" w:ascii="仿宋" w:hAnsi="仿宋" w:eastAsia="仿宋" w:cs="仿宋"/>
          <w:color w:val="auto"/>
          <w:sz w:val="32"/>
          <w:szCs w:val="32"/>
          <w:lang w:val="en-US" w:eastAsia="zh-CN"/>
        </w:rPr>
        <w:t>一级</w:t>
      </w:r>
      <w:r>
        <w:rPr>
          <w:rFonts w:hint="eastAsia" w:ascii="仿宋" w:hAnsi="仿宋" w:eastAsia="仿宋" w:cs="仿宋"/>
          <w:color w:val="auto"/>
          <w:sz w:val="32"/>
          <w:szCs w:val="32"/>
        </w:rPr>
        <w:t>预算单位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部门内设机构</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个，包括政治部、办公室、督</w:t>
      </w:r>
      <w:r>
        <w:rPr>
          <w:rFonts w:hint="eastAsia" w:ascii="仿宋" w:hAnsi="仿宋" w:eastAsia="仿宋" w:cs="仿宋"/>
          <w:color w:val="auto"/>
          <w:sz w:val="32"/>
          <w:szCs w:val="32"/>
          <w:highlight w:val="none"/>
          <w:lang w:val="en-US" w:eastAsia="zh-CN"/>
        </w:rPr>
        <w:t>察</w:t>
      </w:r>
      <w:r>
        <w:rPr>
          <w:rFonts w:hint="eastAsia" w:ascii="仿宋" w:hAnsi="仿宋" w:eastAsia="仿宋" w:cs="仿宋"/>
          <w:color w:val="auto"/>
          <w:sz w:val="32"/>
          <w:szCs w:val="32"/>
          <w:highlight w:val="none"/>
        </w:rPr>
        <w:t>支队、警保处、</w:t>
      </w:r>
      <w:r>
        <w:rPr>
          <w:rFonts w:hint="eastAsia" w:ascii="仿宋" w:hAnsi="仿宋" w:eastAsia="仿宋" w:cs="仿宋"/>
          <w:color w:val="auto"/>
          <w:sz w:val="32"/>
          <w:szCs w:val="32"/>
          <w:highlight w:val="none"/>
          <w:lang w:val="en-US" w:eastAsia="zh-CN"/>
        </w:rPr>
        <w:t>情指中心</w:t>
      </w:r>
      <w:r>
        <w:rPr>
          <w:rFonts w:hint="eastAsia" w:ascii="仿宋" w:hAnsi="仿宋" w:eastAsia="仿宋" w:cs="仿宋"/>
          <w:color w:val="auto"/>
          <w:sz w:val="32"/>
          <w:szCs w:val="32"/>
          <w:highlight w:val="none"/>
        </w:rPr>
        <w:t>、刑</w:t>
      </w:r>
      <w:r>
        <w:rPr>
          <w:rFonts w:hint="eastAsia" w:ascii="仿宋" w:hAnsi="仿宋" w:eastAsia="仿宋" w:cs="仿宋"/>
          <w:color w:val="auto"/>
          <w:sz w:val="32"/>
          <w:szCs w:val="32"/>
        </w:rPr>
        <w:t>警支队、治安支队、法制支队、网安支队、特警支队、出入境管理支队、</w:t>
      </w:r>
      <w:r>
        <w:rPr>
          <w:rFonts w:hint="eastAsia" w:ascii="仿宋" w:hAnsi="仿宋" w:eastAsia="仿宋" w:cs="仿宋"/>
          <w:color w:val="auto"/>
          <w:sz w:val="32"/>
          <w:szCs w:val="32"/>
          <w:lang w:val="en-US" w:eastAsia="zh-CN"/>
        </w:rPr>
        <w:t>政保</w:t>
      </w:r>
      <w:r>
        <w:rPr>
          <w:rFonts w:hint="eastAsia" w:ascii="仿宋" w:hAnsi="仿宋" w:eastAsia="仿宋" w:cs="仿宋"/>
          <w:color w:val="auto"/>
          <w:sz w:val="32"/>
          <w:szCs w:val="32"/>
        </w:rPr>
        <w:t>支队、经侦支队、技侦支队、科信支队、交警支队</w:t>
      </w:r>
      <w:r>
        <w:rPr>
          <w:rFonts w:hint="eastAsia" w:ascii="仿宋" w:hAnsi="仿宋" w:eastAsia="仿宋" w:cs="仿宋"/>
          <w:color w:val="auto"/>
          <w:sz w:val="32"/>
          <w:szCs w:val="32"/>
          <w:lang w:eastAsia="zh-CN"/>
        </w:rPr>
        <w:t>（为独立核算单位）</w:t>
      </w:r>
      <w:r>
        <w:rPr>
          <w:rFonts w:hint="eastAsia" w:ascii="仿宋" w:hAnsi="仿宋" w:eastAsia="仿宋" w:cs="仿宋"/>
          <w:color w:val="auto"/>
          <w:sz w:val="32"/>
          <w:szCs w:val="32"/>
        </w:rPr>
        <w:t>、监管支队、</w:t>
      </w:r>
      <w:r>
        <w:rPr>
          <w:rFonts w:hint="eastAsia" w:ascii="仿宋" w:hAnsi="仿宋" w:eastAsia="仿宋" w:cs="仿宋"/>
          <w:color w:val="auto"/>
          <w:sz w:val="32"/>
          <w:szCs w:val="32"/>
          <w:lang w:val="en-US" w:eastAsia="zh-CN"/>
        </w:rPr>
        <w:t>食药环支队。派出机构3个，包括</w:t>
      </w:r>
      <w:r>
        <w:rPr>
          <w:rFonts w:hint="eastAsia" w:ascii="仿宋" w:hAnsi="仿宋" w:eastAsia="仿宋" w:cs="仿宋"/>
          <w:color w:val="auto"/>
          <w:sz w:val="32"/>
          <w:szCs w:val="32"/>
          <w:lang w:eastAsia="zh-CN"/>
        </w:rPr>
        <w:t>拘留所、看守所、</w:t>
      </w:r>
      <w:r>
        <w:rPr>
          <w:rFonts w:hint="eastAsia" w:ascii="仿宋" w:hAnsi="仿宋" w:eastAsia="仿宋" w:cs="仿宋"/>
          <w:color w:val="auto"/>
          <w:sz w:val="32"/>
          <w:szCs w:val="32"/>
          <w:lang w:val="en-US" w:eastAsia="zh-CN"/>
        </w:rPr>
        <w:t>车辆管理所。检查站2个：玉普一级检查站、察瓦龙一级检查站</w:t>
      </w:r>
      <w:r>
        <w:rPr>
          <w:rFonts w:hint="eastAsia" w:ascii="仿宋" w:hAnsi="仿宋" w:eastAsia="仿宋" w:cs="仿宋"/>
          <w:color w:val="auto"/>
          <w:sz w:val="32"/>
          <w:szCs w:val="32"/>
          <w:lang w:eastAsia="zh-CN"/>
        </w:rPr>
        <w:t>。</w:t>
      </w:r>
    </w:p>
    <w:p w14:paraId="2871C25E">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3．人员情况</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单位编制人数</w:t>
      </w:r>
      <w:r>
        <w:rPr>
          <w:rFonts w:hint="eastAsia" w:ascii="仿宋" w:hAnsi="仿宋" w:eastAsia="仿宋" w:cs="仿宋"/>
          <w:color w:val="auto"/>
          <w:sz w:val="32"/>
          <w:szCs w:val="32"/>
          <w:highlight w:val="none"/>
          <w:lang w:val="en-US" w:eastAsia="zh-CN"/>
        </w:rPr>
        <w:t>285</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2025</w:t>
      </w:r>
      <w:r>
        <w:rPr>
          <w:rFonts w:hint="eastAsia" w:ascii="仿宋" w:hAnsi="仿宋" w:eastAsia="仿宋" w:cs="仿宋"/>
          <w:color w:val="auto"/>
          <w:sz w:val="32"/>
          <w:szCs w:val="32"/>
          <w:highlight w:val="none"/>
        </w:rPr>
        <w:t>年年末在职实有人数</w:t>
      </w:r>
      <w:r>
        <w:rPr>
          <w:rFonts w:hint="eastAsia" w:ascii="仿宋" w:hAnsi="仿宋" w:eastAsia="仿宋" w:cs="仿宋"/>
          <w:color w:val="auto"/>
          <w:sz w:val="32"/>
          <w:szCs w:val="32"/>
          <w:highlight w:val="none"/>
          <w:lang w:val="en-US" w:eastAsia="zh-CN"/>
        </w:rPr>
        <w:t>385</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val="en-US" w:eastAsia="zh-CN"/>
        </w:rPr>
        <w:t>。</w:t>
      </w:r>
    </w:p>
    <w:p w14:paraId="17BADBB5">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4.2025年12月31日，我局资产总额356,517,269.89元，其中流动资产21,930,802.40元（包含货币资金8,454,213.01元），非流动资产334,586,467.49元（包含固定资产净值222,053,721.38元、无形资产净值5,216,088.24元、公共基础设施净值16,285,982.26元）</w:t>
      </w:r>
    </w:p>
    <w:p w14:paraId="27AFC420">
      <w:pPr>
        <w:keepNext w:val="0"/>
        <w:keepLines w:val="0"/>
        <w:pageBreakBefore w:val="0"/>
        <w:numPr>
          <w:ilvl w:val="0"/>
          <w:numId w:val="1"/>
        </w:numPr>
        <w:kinsoku/>
        <w:wordWrap/>
        <w:overflowPunct/>
        <w:topLinePunct w:val="0"/>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当年部门履职总体目标、工作任务。</w:t>
      </w:r>
    </w:p>
    <w:p w14:paraId="799C30EA">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坚持以习近平新时代中国特色社会主义思想为指导，全面贯彻党的二十大和历次全会精神，深入学习贯彻习近平总书记关于政法工作、新时代公安工作的重要论述，认真贯彻落实习近平总书记关于西藏工作的重要指示精神和新时代党的治藏方略，全面贯彻落实中央政法工作会议、全国公安厅局长座谈会，全区政法工作会议、公安处（局）长工作会议，市委经济工作会议、市委政法工作会议精神，立足“四件大事”，锚定“四个创建”，坚持守正创新，以全面提升“新质战斗力”为目标，突出业务指标、任务期限、工作质效，扎实开展“六大工程”，推动林芝公安工作现代化提档升级，全力为林芝改革开放先行和人民安居乐业保驾护航。</w:t>
      </w:r>
    </w:p>
    <w:p w14:paraId="35D82402">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1、推深做实“基石工程”，提升维稳工作现代化。</w:t>
      </w:r>
    </w:p>
    <w:p w14:paraId="57A5AC7D">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2、推深做实“风控工程”，提升立体防范现代化。</w:t>
      </w:r>
    </w:p>
    <w:p w14:paraId="0677242A">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3、推深做实“护航工程”，提升打击整治现代化。</w:t>
      </w:r>
    </w:p>
    <w:p w14:paraId="393698D1">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4、推深做实“智警工程”，提升科技赋能现代化。</w:t>
      </w:r>
    </w:p>
    <w:p w14:paraId="27815F21">
      <w:pPr>
        <w:keepNext w:val="0"/>
        <w:keepLines w:val="0"/>
        <w:pageBreakBefore w:val="0"/>
        <w:kinsoku/>
        <w:wordWrap/>
        <w:overflowPunct/>
        <w:topLinePunct w:val="0"/>
        <w:autoSpaceDE/>
        <w:autoSpaceDN/>
        <w:bidi w:val="0"/>
        <w:adjustRightInd w:val="0"/>
        <w:snapToGrid w:val="0"/>
        <w:spacing w:line="576"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5、推深做实“助跑工程”，提升警务运行现代化。</w:t>
      </w:r>
    </w:p>
    <w:p w14:paraId="3CCC56D0">
      <w:pPr>
        <w:keepNext w:val="0"/>
        <w:keepLines w:val="0"/>
        <w:pageBreakBefore w:val="0"/>
        <w:kinsoku/>
        <w:wordWrap/>
        <w:overflowPunct/>
        <w:topLinePunct w:val="0"/>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（三）当年部门年度整体支出绩效目标。</w:t>
      </w:r>
    </w:p>
    <w:p w14:paraId="007DC4D7">
      <w:pPr>
        <w:keepNext w:val="0"/>
        <w:keepLines w:val="0"/>
        <w:pageBreakBefore w:val="0"/>
        <w:numPr>
          <w:ilvl w:val="0"/>
          <w:numId w:val="0"/>
        </w:numPr>
        <w:kinsoku/>
        <w:wordWrap/>
        <w:overflowPunct/>
        <w:topLinePunct w:val="0"/>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震慑犯罪，打击违法犯罪活动，维护社会秩序持续稳定，保障各项安保、维稳工作，提升人民群众安全感。（2）打击贩毒势力，营造全民参与、全民知晓、全民禁毒的良好社会氛围。推进市公安局信息化建设，革新侦查监控手段，提高破案率，实现向科技要警力的目标。（4）开展业务培训，提升民（辅）警职业素质和业务能力。（6）资金执行率达到85%。</w:t>
      </w:r>
    </w:p>
    <w:p w14:paraId="21ACB758">
      <w:pPr>
        <w:keepNext w:val="0"/>
        <w:keepLines w:val="0"/>
        <w:pageBreakBefore w:val="0"/>
        <w:kinsoku/>
        <w:wordWrap/>
        <w:overflowPunct/>
        <w:topLinePunct w:val="0"/>
        <w:autoSpaceDN/>
        <w:bidi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）当年部门预算及执行情况。</w:t>
      </w:r>
    </w:p>
    <w:p w14:paraId="66A47D71">
      <w:pPr>
        <w:pStyle w:val="8"/>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SA"/>
        </w:rPr>
        <w:t>2025年全年财政预算收入228468203.94元（其中一般公共预算财政资金收入227468203.94元，援藏资金收入1000000.00元），全年财政预算支出209766726.45元(其中一般公共预算财政资金支出208670726.45元，援藏资金支出1096000元）。一般公预算资金执行率为91.74%。上年结转结余2031745.17（均未援藏资金结转2031745.17），结转下年资金为20733222.66元（其中一般公共预算财政资金18797477.49元，援藏资金1935745.17元）。</w:t>
      </w:r>
    </w:p>
    <w:p w14:paraId="7B82925E">
      <w:pPr>
        <w:keepNext w:val="0"/>
        <w:keepLines w:val="0"/>
        <w:pageBreakBefore w:val="0"/>
        <w:kinsoku/>
        <w:wordWrap/>
        <w:overflowPunct/>
        <w:topLinePunct w:val="0"/>
        <w:autoSpaceDE/>
        <w:autoSpaceDN/>
        <w:bidi w:val="0"/>
        <w:adjustRightInd/>
        <w:snapToGrid/>
        <w:spacing w:before="0" w:beforeLines="0" w:after="0" w:afterLines="0" w:line="576" w:lineRule="exact"/>
        <w:ind w:firstLine="320" w:firstLineChars="1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二、部门整体支出绩效实现情况</w:t>
      </w:r>
    </w:p>
    <w:p w14:paraId="7FB3F0E4">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经费执行进度看</w:t>
      </w:r>
    </w:p>
    <w:p w14:paraId="6BB871BA">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kern w:val="2"/>
          <w:sz w:val="32"/>
          <w:szCs w:val="32"/>
          <w:lang w:val="en-US" w:eastAsia="zh-CN" w:bidi="ar-SA"/>
        </w:rPr>
        <w:t>2025年全年财政预算收入228468203.94元（其中一般公共预算财政资金收入227468203.94元，援藏资金收入1000000.00元），全年财政预算支出209766726.45元(其中一般公共预算财政资金支出208670726.45元，援藏资金支出1096000元）。一般公预算资金执行率为91.74%，</w:t>
      </w:r>
      <w:r>
        <w:rPr>
          <w:rFonts w:hint="eastAsia" w:ascii="仿宋" w:hAnsi="仿宋" w:eastAsia="仿宋" w:cs="仿宋"/>
          <w:color w:val="auto"/>
          <w:sz w:val="32"/>
          <w:szCs w:val="32"/>
        </w:rPr>
        <w:t>完成年初设定的20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年12月31日前执行进度达到</w:t>
      </w:r>
      <w:r>
        <w:rPr>
          <w:rFonts w:hint="eastAsia" w:ascii="仿宋" w:hAnsi="仿宋" w:eastAsia="仿宋" w:cs="仿宋"/>
          <w:color w:val="auto"/>
          <w:sz w:val="32"/>
          <w:szCs w:val="32"/>
          <w:lang w:val="en-US" w:eastAsia="zh-CN"/>
        </w:rPr>
        <w:t>85</w:t>
      </w:r>
      <w:r>
        <w:rPr>
          <w:rFonts w:hint="eastAsia" w:ascii="仿宋" w:hAnsi="仿宋" w:eastAsia="仿宋" w:cs="仿宋"/>
          <w:color w:val="auto"/>
          <w:sz w:val="32"/>
          <w:szCs w:val="32"/>
        </w:rPr>
        <w:t>%的预期目标</w:t>
      </w:r>
      <w:r>
        <w:rPr>
          <w:rFonts w:hint="eastAsia" w:ascii="仿宋" w:hAnsi="仿宋" w:eastAsia="仿宋" w:cs="仿宋"/>
          <w:color w:val="auto"/>
          <w:sz w:val="32"/>
          <w:szCs w:val="32"/>
          <w:lang w:eastAsia="zh-CN"/>
        </w:rPr>
        <w:t>。本项自评项目总分</w:t>
      </w:r>
      <w:r>
        <w:rPr>
          <w:rFonts w:hint="eastAsia" w:ascii="仿宋" w:hAnsi="仿宋" w:eastAsia="仿宋" w:cs="仿宋"/>
          <w:color w:val="auto"/>
          <w:sz w:val="32"/>
          <w:szCs w:val="32"/>
          <w:lang w:val="en-US" w:eastAsia="zh-CN"/>
        </w:rPr>
        <w:t>10分，2025年本项自评项目得分9.17分。</w:t>
      </w:r>
    </w:p>
    <w:p w14:paraId="5628A467">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经费实施效果看</w:t>
      </w:r>
    </w:p>
    <w:p w14:paraId="071889CF">
      <w:pPr>
        <w:keepNext w:val="0"/>
        <w:keepLines w:val="0"/>
        <w:pageBreakBefore w:val="0"/>
        <w:kinsoku/>
        <w:wordWrap/>
        <w:overflowPunct/>
        <w:topLinePunct w:val="0"/>
        <w:autoSpaceDE/>
        <w:autoSpaceDN/>
        <w:bidi w:val="0"/>
        <w:adjustRightInd/>
        <w:snapToGrid/>
        <w:spacing w:before="0" w:beforeLines="0" w:after="0" w:afterLines="0" w:line="576" w:lineRule="exact"/>
        <w:ind w:right="-525" w:rightChars="-250"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在</w:t>
      </w:r>
      <w:r>
        <w:rPr>
          <w:rFonts w:hint="eastAsia" w:ascii="仿宋" w:hAnsi="仿宋" w:eastAsia="仿宋" w:cs="仿宋"/>
          <w:sz w:val="32"/>
          <w:szCs w:val="32"/>
        </w:rPr>
        <w:t>区党委、政府，市委、政府和自治区公安厅党委的坚强领导下，在</w:t>
      </w:r>
      <w:r>
        <w:rPr>
          <w:rFonts w:hint="eastAsia" w:ascii="仿宋" w:hAnsi="仿宋" w:eastAsia="仿宋" w:cs="仿宋"/>
          <w:bCs/>
          <w:sz w:val="32"/>
          <w:szCs w:val="32"/>
        </w:rPr>
        <w:t>林芝市公安系统的积极争取下，经费的及时足额保障为我市各级公安</w:t>
      </w:r>
      <w:r>
        <w:rPr>
          <w:rFonts w:hint="eastAsia" w:ascii="仿宋" w:hAnsi="仿宋" w:eastAsia="仿宋" w:cs="仿宋"/>
          <w:sz w:val="32"/>
          <w:szCs w:val="32"/>
        </w:rPr>
        <w:t>圆满完成各项安保、维稳工作任务提供了坚实的保障。</w:t>
      </w:r>
    </w:p>
    <w:p w14:paraId="275BA43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val="en" w:eastAsia="zh-CN"/>
        </w:rPr>
        <w:t>政治建警始终坚定鲜明。</w:t>
      </w:r>
      <w:r>
        <w:rPr>
          <w:rFonts w:hint="eastAsia" w:ascii="仿宋" w:hAnsi="仿宋" w:eastAsia="仿宋" w:cs="仿宋"/>
          <w:sz w:val="32"/>
          <w:szCs w:val="32"/>
        </w:rPr>
        <w:t>严格执行</w:t>
      </w:r>
      <w:r>
        <w:rPr>
          <w:rFonts w:hint="eastAsia" w:ascii="仿宋" w:hAnsi="仿宋" w:eastAsia="仿宋" w:cs="仿宋"/>
          <w:sz w:val="32"/>
          <w:szCs w:val="32"/>
          <w:lang w:eastAsia="zh-CN"/>
        </w:rPr>
        <w:t>“</w:t>
      </w:r>
      <w:r>
        <w:rPr>
          <w:rFonts w:hint="eastAsia" w:ascii="仿宋" w:hAnsi="仿宋" w:eastAsia="仿宋" w:cs="仿宋"/>
          <w:sz w:val="32"/>
          <w:szCs w:val="32"/>
        </w:rPr>
        <w:t>第一议题</w:t>
      </w:r>
      <w:r>
        <w:rPr>
          <w:rFonts w:hint="eastAsia" w:ascii="仿宋" w:hAnsi="仿宋" w:eastAsia="仿宋" w:cs="仿宋"/>
          <w:sz w:val="32"/>
          <w:szCs w:val="32"/>
          <w:lang w:eastAsia="zh-CN"/>
        </w:rPr>
        <w:t>”</w:t>
      </w:r>
      <w:r>
        <w:rPr>
          <w:rFonts w:hint="eastAsia" w:ascii="仿宋" w:hAnsi="仿宋" w:eastAsia="仿宋" w:cs="仿宋"/>
          <w:sz w:val="32"/>
          <w:szCs w:val="32"/>
        </w:rPr>
        <w:t>制度，</w:t>
      </w:r>
      <w:r>
        <w:rPr>
          <w:rFonts w:hint="eastAsia" w:ascii="仿宋" w:hAnsi="仿宋" w:eastAsia="仿宋" w:cs="仿宋"/>
          <w:sz w:val="32"/>
          <w:szCs w:val="32"/>
          <w:lang w:eastAsia="zh-CN"/>
        </w:rPr>
        <w:t>认真学习领会习近平新时代中国特色社会主义思想，习近平</w:t>
      </w:r>
      <w:r>
        <w:rPr>
          <w:rFonts w:hint="eastAsia" w:ascii="仿宋" w:hAnsi="仿宋" w:eastAsia="仿宋" w:cs="仿宋"/>
          <w:sz w:val="32"/>
          <w:szCs w:val="32"/>
          <w:lang w:val="en-US" w:eastAsia="zh-CN"/>
        </w:rPr>
        <w:t>总书记给巴宜区嘎啦村回信精神以及在视察西藏工作时的重要讲话精神，扎实开展中央八项规定精神学习教育，</w:t>
      </w:r>
      <w:r>
        <w:rPr>
          <w:rFonts w:hint="eastAsia" w:ascii="仿宋" w:hAnsi="仿宋" w:eastAsia="仿宋" w:cs="仿宋"/>
          <w:color w:val="auto"/>
          <w:sz w:val="32"/>
          <w:szCs w:val="32"/>
          <w:lang w:val="en-US" w:eastAsia="zh-CN"/>
        </w:rPr>
        <w:t>高起点召开动员部署会议，高标准完成读书班、专题辅导等各个环节，专项学习教育效果明显。</w:t>
      </w:r>
      <w:r>
        <w:rPr>
          <w:rFonts w:hint="eastAsia" w:ascii="仿宋" w:hAnsi="仿宋" w:eastAsia="仿宋" w:cs="仿宋"/>
          <w:sz w:val="32"/>
          <w:szCs w:val="32"/>
          <w:lang w:eastAsia="zh-CN"/>
        </w:rPr>
        <w:t>以创建“四强”党支部为抓手，</w:t>
      </w:r>
      <w:r>
        <w:rPr>
          <w:rFonts w:hint="eastAsia" w:ascii="仿宋" w:hAnsi="仿宋" w:eastAsia="仿宋" w:cs="仿宋"/>
          <w:sz w:val="32"/>
          <w:szCs w:val="32"/>
        </w:rPr>
        <w:t>开展支部书记培训班1场</w:t>
      </w:r>
      <w:r>
        <w:rPr>
          <w:rFonts w:hint="eastAsia" w:ascii="仿宋" w:hAnsi="仿宋" w:eastAsia="仿宋" w:cs="仿宋"/>
          <w:sz w:val="32"/>
          <w:szCs w:val="32"/>
          <w:lang w:eastAsia="zh-CN"/>
        </w:rPr>
        <w:t>，</w:t>
      </w:r>
      <w:r>
        <w:rPr>
          <w:rFonts w:hint="eastAsia" w:ascii="仿宋" w:hAnsi="仿宋" w:eastAsia="仿宋" w:cs="仿宋"/>
          <w:sz w:val="32"/>
          <w:szCs w:val="32"/>
        </w:rPr>
        <w:t>支部书记讲坛2次</w:t>
      </w:r>
      <w:r>
        <w:rPr>
          <w:rFonts w:hint="eastAsia" w:ascii="仿宋" w:hAnsi="仿宋" w:eastAsia="仿宋" w:cs="仿宋"/>
          <w:sz w:val="32"/>
          <w:szCs w:val="32"/>
          <w:lang w:eastAsia="zh-CN"/>
        </w:rPr>
        <w:t>，各类党建培训4批9人次，积极打造“护、安、战、斗”红色党建矩阵，着力经营“平安党建”</w:t>
      </w:r>
      <w:r>
        <w:rPr>
          <w:rFonts w:hint="eastAsia" w:ascii="仿宋" w:hAnsi="仿宋" w:eastAsia="仿宋" w:cs="仿宋"/>
          <w:sz w:val="32"/>
          <w:szCs w:val="32"/>
        </w:rPr>
        <w:t>“治安365行动”</w:t>
      </w:r>
      <w:r>
        <w:rPr>
          <w:rFonts w:hint="eastAsia" w:ascii="仿宋" w:hAnsi="仿宋" w:eastAsia="仿宋" w:cs="仿宋"/>
          <w:sz w:val="32"/>
          <w:szCs w:val="32"/>
          <w:lang w:eastAsia="zh-CN"/>
        </w:rPr>
        <w:t>等党建品牌，“党建</w:t>
      </w:r>
      <w:r>
        <w:rPr>
          <w:rFonts w:hint="eastAsia" w:ascii="仿宋" w:hAnsi="仿宋" w:eastAsia="仿宋" w:cs="仿宋"/>
          <w:sz w:val="32"/>
          <w:szCs w:val="32"/>
          <w:lang w:val="en-US" w:eastAsia="zh-CN"/>
        </w:rPr>
        <w:t>+业务</w:t>
      </w:r>
      <w:r>
        <w:rPr>
          <w:rFonts w:hint="eastAsia" w:ascii="仿宋" w:hAnsi="仿宋" w:eastAsia="仿宋" w:cs="仿宋"/>
          <w:sz w:val="32"/>
          <w:szCs w:val="32"/>
          <w:lang w:eastAsia="zh-CN"/>
        </w:rPr>
        <w:t>”双融双促进一步彰显。深入开展政治轮训和政治练兵，组织开展政治轮训、</w:t>
      </w:r>
      <w:r>
        <w:rPr>
          <w:rFonts w:hint="eastAsia" w:ascii="仿宋" w:hAnsi="仿宋" w:eastAsia="仿宋" w:cs="仿宋"/>
          <w:sz w:val="32"/>
          <w:szCs w:val="32"/>
          <w:lang w:val="en-US" w:eastAsia="zh-CN"/>
        </w:rPr>
        <w:t>公安大讲堂，</w:t>
      </w:r>
      <w:r>
        <w:rPr>
          <w:rFonts w:hint="eastAsia" w:ascii="仿宋" w:hAnsi="仿宋" w:eastAsia="仿宋" w:cs="仿宋"/>
          <w:sz w:val="32"/>
          <w:szCs w:val="32"/>
          <w:lang w:eastAsia="zh-CN"/>
        </w:rPr>
        <w:t>切实用党的创新理论武装头脑，以思想上的清醒确保政治上的坚定。</w:t>
      </w:r>
    </w:p>
    <w:p w14:paraId="0FB66B77">
      <w:pPr>
        <w:pStyle w:val="4"/>
        <w:keepNext w:val="0"/>
        <w:keepLines w:val="0"/>
        <w:pageBreakBefore w:val="0"/>
        <w:numPr>
          <w:ilvl w:val="0"/>
          <w:numId w:val="0"/>
        </w:numPr>
        <w:kinsoku/>
        <w:wordWrap/>
        <w:overflowPunct/>
        <w:topLinePunct w:val="0"/>
        <w:autoSpaceDE/>
        <w:autoSpaceDN/>
        <w:bidi w:val="0"/>
        <w:adjustRightInd/>
        <w:snapToGrid/>
        <w:spacing w:line="576" w:lineRule="exact"/>
        <w:ind w:left="78" w:leftChars="37" w:firstLine="643"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val="en" w:eastAsia="zh-CN"/>
        </w:rPr>
        <w:t>打击违法犯罪成效显著。</w:t>
      </w:r>
      <w:r>
        <w:rPr>
          <w:rFonts w:hint="eastAsia" w:ascii="仿宋" w:hAnsi="仿宋" w:eastAsia="仿宋" w:cs="仿宋"/>
          <w:b w:val="0"/>
          <w:bCs w:val="0"/>
          <w:sz w:val="32"/>
          <w:szCs w:val="32"/>
          <w:lang w:val="en" w:eastAsia="zh-CN"/>
        </w:rPr>
        <w:t>持续严打严重暴力犯罪。</w:t>
      </w:r>
      <w:r>
        <w:rPr>
          <w:rFonts w:hint="eastAsia" w:ascii="仿宋" w:hAnsi="仿宋" w:eastAsia="仿宋" w:cs="仿宋"/>
          <w:color w:val="auto"/>
          <w:kern w:val="2"/>
          <w:sz w:val="32"/>
          <w:szCs w:val="32"/>
          <w:lang w:val="en-US" w:eastAsia="zh-CN" w:bidi="ar-SA"/>
        </w:rPr>
        <w:t>八类严重暴力犯罪案件破案率始终保持在100%，特别是破获一批影响恶劣的重大案件，人民群众安全感进一步提升。坚决打击治理新型犯罪。扎实推进专项行动，集中治理电信网络诈骗，查处全区首例“欺骗医务人员购买精神药品案”，打击新型犯罪效能持续提升。严厉打击多发性违法犯罪，聚焦“盗抢骗”“食药环”“黄赌毒”等违法犯罪规律特点，坚持即案即侦、快办快处</w:t>
      </w:r>
    </w:p>
    <w:p w14:paraId="7E74BCCB">
      <w:pPr>
        <w:pStyle w:val="4"/>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val="en" w:eastAsia="zh-CN"/>
        </w:rPr>
        <w:t>重大安保警卫决战全胜。</w:t>
      </w:r>
      <w:r>
        <w:rPr>
          <w:rFonts w:hint="eastAsia" w:ascii="仿宋" w:hAnsi="仿宋" w:eastAsia="仿宋" w:cs="仿宋"/>
          <w:bCs/>
          <w:color w:val="auto"/>
          <w:kern w:val="0"/>
          <w:sz w:val="32"/>
          <w:szCs w:val="32"/>
          <w:lang w:val="en-US" w:eastAsia="zh-CN"/>
        </w:rPr>
        <w:t>聚集大庆系列安保。扎实开展“三个专项”行动，按照“外圈保内圈、内圈保核心”的工作原则，先后制定细化各类方案预案，圆满完成了安保活动现场、安全警卫任务，确保了大庆期间和中央代表团赴林期间绝对安全，受到了党中央、区党委政府和市委市政府领导的充分肯定。聚集林芝主场安保。牢固树立“主场主责”意识，</w:t>
      </w:r>
      <w:r>
        <w:rPr>
          <w:rFonts w:hint="eastAsia" w:ascii="仿宋" w:hAnsi="仿宋" w:eastAsia="仿宋" w:cs="仿宋"/>
          <w:b w:val="0"/>
          <w:bCs w:val="0"/>
          <w:color w:val="000000"/>
          <w:kern w:val="2"/>
          <w:sz w:val="32"/>
          <w:szCs w:val="32"/>
          <w:lang w:val="en-US" w:eastAsia="zh-CN" w:bidi="ar-SA"/>
        </w:rPr>
        <w:t>全警动员、全力以赴，以“精致、细致、极致”的工作作风，纵深推动各项安保措施落地落实，先后完成</w:t>
      </w:r>
      <w:r>
        <w:rPr>
          <w:rFonts w:hint="eastAsia" w:ascii="仿宋" w:hAnsi="仿宋" w:eastAsia="仿宋" w:cs="仿宋"/>
          <w:bCs/>
          <w:color w:val="auto"/>
          <w:kern w:val="0"/>
          <w:sz w:val="32"/>
          <w:szCs w:val="32"/>
          <w:lang w:val="en-US" w:eastAsia="zh-CN"/>
        </w:rPr>
        <w:t>雅下水电开工仪式、环喜企业家会议、2025西藏发展论坛等主场外交活动以及第六届跨喜自行车赛、“尼洋河杯”足球邀请赛等重大体育赛事安保任务，实现全年安保警卫“零事故”。</w:t>
      </w:r>
    </w:p>
    <w:p w14:paraId="618A9965">
      <w:pPr>
        <w:pStyle w:val="4"/>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val="en" w:eastAsia="zh-CN"/>
        </w:rPr>
        <w:t>基层社会治理更加精细。</w:t>
      </w:r>
      <w:r>
        <w:rPr>
          <w:rFonts w:hint="eastAsia" w:ascii="仿宋" w:hAnsi="仿宋" w:eastAsia="仿宋" w:cs="仿宋"/>
          <w:b w:val="0"/>
          <w:bCs w:val="0"/>
          <w:sz w:val="32"/>
          <w:szCs w:val="32"/>
          <w:lang w:val="en" w:eastAsia="zh-CN"/>
        </w:rPr>
        <w:t>基础数据应采尽采。</w:t>
      </w:r>
      <w:r>
        <w:rPr>
          <w:rFonts w:hint="eastAsia" w:ascii="仿宋" w:hAnsi="仿宋" w:eastAsia="仿宋" w:cs="仿宋"/>
          <w:b w:val="0"/>
          <w:bCs w:val="0"/>
          <w:color w:val="auto"/>
          <w:sz w:val="32"/>
          <w:szCs w:val="32"/>
          <w:lang w:val="en" w:eastAsia="zh-CN"/>
        </w:rPr>
        <w:t>扎实推进数据采集治理工作，</w:t>
      </w:r>
      <w:r>
        <w:rPr>
          <w:rFonts w:hint="eastAsia" w:ascii="仿宋" w:hAnsi="仿宋" w:eastAsia="仿宋" w:cs="仿宋"/>
          <w:color w:val="auto"/>
          <w:sz w:val="32"/>
          <w:szCs w:val="32"/>
          <w:highlight w:val="none"/>
          <w:lang w:val="en-US" w:eastAsia="zh-CN"/>
        </w:rPr>
        <w:t>“一标三实”基础数据采集录入45.1万余条，治理8.7万余条，完成率100%；融入新一代警综平台29.9万余条，社会治理现代化水平稳步推进。</w:t>
      </w:r>
      <w:r>
        <w:rPr>
          <w:rFonts w:hint="eastAsia" w:ascii="仿宋" w:hAnsi="仿宋" w:eastAsia="仿宋" w:cs="仿宋"/>
          <w:b w:val="0"/>
          <w:bCs w:val="0"/>
          <w:sz w:val="32"/>
          <w:szCs w:val="32"/>
          <w:lang w:val="en-US" w:eastAsia="zh-CN"/>
        </w:rPr>
        <w:t>矛盾纠纷快调快处，积极践行新时代“枫桥经验”，</w:t>
      </w:r>
      <w:r>
        <w:rPr>
          <w:rFonts w:hint="eastAsia" w:ascii="仿宋" w:hAnsi="仿宋" w:eastAsia="仿宋" w:cs="仿宋"/>
          <w:sz w:val="32"/>
          <w:szCs w:val="32"/>
          <w:lang w:eastAsia="zh-CN"/>
        </w:rPr>
        <w:t>创新推出“三级和议”“彩虹调解室”等矛盾纠纷调处典型。</w:t>
      </w:r>
      <w:r>
        <w:rPr>
          <w:rFonts w:hint="eastAsia" w:ascii="仿宋" w:hAnsi="仿宋" w:eastAsia="仿宋" w:cs="仿宋"/>
          <w:b w:val="0"/>
          <w:bCs w:val="0"/>
          <w:sz w:val="32"/>
          <w:szCs w:val="32"/>
          <w:lang w:val="en-US" w:eastAsia="zh-CN"/>
        </w:rPr>
        <w:t>要素管控动态清零。严格“以证管人、以房管人、以业管人”工作措施，加强流动人员管理，办理居住登记卡9.5万余张，居住证1.3万余张，居住证签注1.3万余张，切实做到底数清、情况明。持续强化枪支弹药和民爆物品管理，定期开展基础信息及风险隐患排查，及时消除风险隐患。基层基础</w:t>
      </w:r>
      <w:r>
        <w:rPr>
          <w:rFonts w:hint="eastAsia" w:ascii="仿宋" w:hAnsi="仿宋" w:eastAsia="仿宋" w:cs="仿宋"/>
          <w:b w:val="0"/>
          <w:bCs w:val="0"/>
          <w:sz w:val="32"/>
          <w:szCs w:val="32"/>
          <w:lang w:val="en" w:eastAsia="zh-CN"/>
        </w:rPr>
        <w:t>不断夯实。深入推进派出所“两队一室”建设</w:t>
      </w:r>
      <w:r>
        <w:rPr>
          <w:rFonts w:hint="eastAsia" w:ascii="仿宋" w:hAnsi="仿宋" w:eastAsia="仿宋" w:cs="仿宋"/>
          <w:sz w:val="32"/>
          <w:szCs w:val="32"/>
          <w:lang w:val="en-US" w:eastAsia="zh-CN"/>
        </w:rPr>
        <w:t>，推动警力下沉，基层力量得到有效充实。</w:t>
      </w:r>
      <w:r>
        <w:rPr>
          <w:rFonts w:hint="eastAsia" w:ascii="仿宋" w:hAnsi="仿宋" w:eastAsia="仿宋" w:cs="仿宋"/>
          <w:sz w:val="32"/>
          <w:szCs w:val="32"/>
        </w:rPr>
        <w:t>完成全市派出所</w:t>
      </w:r>
      <w:r>
        <w:rPr>
          <w:rFonts w:hint="eastAsia" w:ascii="仿宋" w:hAnsi="仿宋" w:eastAsia="仿宋" w:cs="仿宋"/>
          <w:sz w:val="32"/>
          <w:szCs w:val="32"/>
          <w:lang w:eastAsia="zh-CN"/>
        </w:rPr>
        <w:t>等级</w:t>
      </w:r>
      <w:r>
        <w:rPr>
          <w:rFonts w:hint="eastAsia" w:ascii="仿宋" w:hAnsi="仿宋" w:eastAsia="仿宋" w:cs="仿宋"/>
          <w:sz w:val="32"/>
          <w:szCs w:val="32"/>
        </w:rPr>
        <w:t>评定工作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鲁朗镇派出所荣获西藏自治区第三批“枫桥式派出所”荣誉称号。</w:t>
      </w:r>
    </w:p>
    <w:p w14:paraId="7AFEB9BC">
      <w:pPr>
        <w:pStyle w:val="4"/>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val="en" w:eastAsia="zh-CN"/>
        </w:rPr>
        <w:t>公共安全态势稳中有变。</w:t>
      </w:r>
      <w:r>
        <w:rPr>
          <w:rFonts w:hint="eastAsia" w:ascii="仿宋" w:hAnsi="仿宋" w:eastAsia="仿宋" w:cs="仿宋"/>
          <w:b w:val="0"/>
          <w:bCs w:val="0"/>
          <w:sz w:val="32"/>
          <w:szCs w:val="32"/>
          <w:lang w:val="en" w:eastAsia="zh-CN"/>
        </w:rPr>
        <w:t>系统性排查清剿风险隐患。紧盯重点路段、重点企业，坚持“清单管理、挂帐销号、闭环管控”工作措施，动态清零风险隐患，治理“省部级督办”隐患路段</w:t>
      </w:r>
      <w:r>
        <w:rPr>
          <w:rFonts w:hint="eastAsia" w:ascii="仿宋" w:hAnsi="仿宋" w:eastAsia="仿宋" w:cs="仿宋"/>
          <w:b w:val="0"/>
          <w:bCs w:val="0"/>
          <w:sz w:val="32"/>
          <w:szCs w:val="32"/>
          <w:lang w:val="en-US" w:eastAsia="zh-CN"/>
        </w:rPr>
        <w:t>5处，发布高风险运输企业通报6期，对“两危一客”车辆开展专项排查80余次，整改逾期未检验、违法未处理等问题5701个，扣押报废车辆23辆、注销报废车辆1996辆，坚决拧紧道路交通“安全阀”。</w:t>
      </w:r>
      <w:r>
        <w:rPr>
          <w:rFonts w:hint="eastAsia" w:ascii="仿宋" w:hAnsi="仿宋" w:eastAsia="仿宋" w:cs="仿宋"/>
          <w:b w:val="0"/>
          <w:bCs w:val="0"/>
          <w:sz w:val="32"/>
          <w:szCs w:val="32"/>
          <w:lang w:val="en" w:eastAsia="zh-CN"/>
        </w:rPr>
        <w:t>常态化整治严重交通违法行为。紧盯我市违法多发、事故突出、管理薄弱路段、时段以及季节性、阶段性交通安全形势特点，梯次开展专项行动</w:t>
      </w:r>
      <w:r>
        <w:rPr>
          <w:rFonts w:hint="eastAsia" w:ascii="仿宋" w:hAnsi="仿宋" w:eastAsia="仿宋" w:cs="仿宋"/>
          <w:b w:val="0"/>
          <w:bCs w:val="0"/>
          <w:sz w:val="32"/>
          <w:szCs w:val="32"/>
          <w:lang w:val="en-US" w:eastAsia="zh-CN"/>
        </w:rPr>
        <w:t>80余次，严查各类严重交通违法行为。</w:t>
      </w:r>
      <w:r>
        <w:rPr>
          <w:rFonts w:hint="eastAsia" w:ascii="仿宋" w:hAnsi="仿宋" w:eastAsia="仿宋" w:cs="仿宋"/>
          <w:b w:val="0"/>
          <w:bCs w:val="0"/>
          <w:sz w:val="32"/>
          <w:szCs w:val="32"/>
          <w:lang w:val="en" w:eastAsia="zh-CN"/>
        </w:rPr>
        <w:t>高频次开展宣传教育警示。深化警媒、警企合作，构建“线上</w:t>
      </w:r>
      <w:r>
        <w:rPr>
          <w:rFonts w:hint="eastAsia" w:ascii="仿宋" w:hAnsi="仿宋" w:eastAsia="仿宋" w:cs="仿宋"/>
          <w:b w:val="0"/>
          <w:bCs w:val="0"/>
          <w:sz w:val="32"/>
          <w:szCs w:val="32"/>
          <w:lang w:val="en-US" w:eastAsia="zh-CN"/>
        </w:rPr>
        <w:t>+线下</w:t>
      </w:r>
      <w:r>
        <w:rPr>
          <w:rFonts w:hint="eastAsia" w:ascii="仿宋" w:hAnsi="仿宋" w:eastAsia="仿宋" w:cs="仿宋"/>
          <w:b w:val="0"/>
          <w:bCs w:val="0"/>
          <w:sz w:val="32"/>
          <w:szCs w:val="32"/>
          <w:lang w:val="en" w:eastAsia="zh-CN"/>
        </w:rPr>
        <w:t>”宣传矩阵，发布“两公布、一提示”</w:t>
      </w:r>
      <w:r>
        <w:rPr>
          <w:rFonts w:hint="eastAsia" w:ascii="仿宋" w:hAnsi="仿宋" w:eastAsia="仿宋" w:cs="仿宋"/>
          <w:b w:val="0"/>
          <w:bCs w:val="0"/>
          <w:sz w:val="32"/>
          <w:szCs w:val="32"/>
          <w:lang w:val="en-US" w:eastAsia="zh-CN"/>
        </w:rPr>
        <w:t>50余次，通过“平安林芝”“林芝交警”新媒体发布相关报道230余篇，开辟交通安全宣传阵地28个，开展网络直播2次，邀请媒体随警作战15次，参与者交通文明意识显著增强。</w:t>
      </w:r>
    </w:p>
    <w:p w14:paraId="0001BEEC">
      <w:pPr>
        <w:keepNext w:val="0"/>
        <w:keepLines w:val="0"/>
        <w:pageBreakBefore w:val="0"/>
        <w:widowControl w:val="0"/>
        <w:numPr>
          <w:ilvl w:val="0"/>
          <w:numId w:val="0"/>
        </w:numPr>
        <w:pBdr>
          <w:bottom w:val="single" w:color="FFFFFF" w:sz="6" w:space="15"/>
        </w:pBdr>
        <w:kinsoku/>
        <w:wordWrap/>
        <w:overflowPunct/>
        <w:topLinePunct w:val="0"/>
        <w:autoSpaceDE/>
        <w:autoSpaceDN/>
        <w:bidi w:val="0"/>
        <w:adjustRightInd/>
        <w:snapToGrid/>
        <w:spacing w:line="576"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val="en" w:eastAsia="zh-CN"/>
        </w:rPr>
        <w:t>优化民生服务成效斐然。</w:t>
      </w:r>
      <w:r>
        <w:rPr>
          <w:rFonts w:hint="eastAsia" w:ascii="仿宋" w:hAnsi="仿宋" w:eastAsia="仿宋" w:cs="仿宋"/>
          <w:b w:val="0"/>
          <w:bCs w:val="0"/>
          <w:color w:val="auto"/>
          <w:sz w:val="32"/>
          <w:szCs w:val="32"/>
          <w:lang w:val="en-US" w:eastAsia="zh-CN"/>
        </w:rPr>
        <w:t>持续深化“放管服”改革，推行“一网通办、一窗通办、全程网办”等便民利民措施</w:t>
      </w:r>
      <w:r>
        <w:rPr>
          <w:rFonts w:hint="eastAsia" w:ascii="仿宋" w:hAnsi="仿宋" w:eastAsia="仿宋" w:cs="仿宋"/>
          <w:b/>
          <w:bCs/>
          <w:color w:val="auto"/>
          <w:sz w:val="32"/>
          <w:szCs w:val="32"/>
          <w:lang w:val="en-US" w:eastAsia="zh-CN"/>
        </w:rPr>
        <w:t>。</w:t>
      </w:r>
      <w:r>
        <w:rPr>
          <w:rFonts w:hint="eastAsia" w:ascii="仿宋" w:hAnsi="仿宋" w:eastAsia="仿宋" w:cs="仿宋"/>
          <w:sz w:val="32"/>
          <w:szCs w:val="32"/>
          <w:lang w:eastAsia="zh-CN"/>
        </w:rPr>
        <w:t>户政方面，持续深化落实</w:t>
      </w:r>
      <w:r>
        <w:rPr>
          <w:rFonts w:hint="eastAsia" w:ascii="仿宋" w:hAnsi="仿宋" w:eastAsia="仿宋" w:cs="仿宋"/>
          <w:sz w:val="32"/>
          <w:szCs w:val="32"/>
        </w:rPr>
        <w:t>《林芝市全面放开城区落户限制的实施细则（试行）》，全面放开林芝市五县一区一市中心城区户籍准入，积极引导鼓励各类人员落户林芝</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率先推出</w:t>
      </w:r>
      <w:r>
        <w:rPr>
          <w:rFonts w:hint="eastAsia" w:ascii="仿宋" w:hAnsi="仿宋" w:eastAsia="仿宋" w:cs="仿宋"/>
          <w:sz w:val="32"/>
          <w:szCs w:val="32"/>
        </w:rPr>
        <w:t>智慧户政“一站式”便民服务</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lang w:val="en-US" w:eastAsia="zh-CN"/>
        </w:rPr>
        <w:t>为7个县（区、市）配发户籍业务自助受理、自助拍照设备70余套，最大限度实现群众办事方式多元化、流程最优化、成本最小化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涉企方面，</w:t>
      </w:r>
      <w:r>
        <w:rPr>
          <w:rFonts w:hint="eastAsia" w:ascii="仿宋" w:hAnsi="仿宋" w:eastAsia="仿宋" w:cs="仿宋"/>
          <w:sz w:val="32"/>
          <w:szCs w:val="32"/>
        </w:rPr>
        <w:t>建立警企联系机制，</w:t>
      </w:r>
      <w:r>
        <w:rPr>
          <w:rFonts w:hint="eastAsia" w:ascii="仿宋" w:hAnsi="仿宋" w:eastAsia="仿宋" w:cs="仿宋"/>
          <w:sz w:val="32"/>
          <w:szCs w:val="32"/>
          <w:lang w:eastAsia="zh-CN"/>
        </w:rPr>
        <w:t>开通</w:t>
      </w:r>
      <w:r>
        <w:rPr>
          <w:rFonts w:hint="eastAsia" w:ascii="仿宋" w:hAnsi="仿宋" w:eastAsia="仿宋" w:cs="仿宋"/>
          <w:sz w:val="32"/>
          <w:szCs w:val="32"/>
        </w:rPr>
        <w:t>涉企案件“快侦快办”绿色通道</w:t>
      </w:r>
      <w:r>
        <w:rPr>
          <w:rFonts w:hint="eastAsia" w:ascii="仿宋" w:hAnsi="仿宋" w:eastAsia="仿宋" w:cs="仿宋"/>
          <w:sz w:val="32"/>
          <w:szCs w:val="32"/>
          <w:lang w:eastAsia="zh-CN"/>
        </w:rPr>
        <w:t>，</w:t>
      </w:r>
      <w:r>
        <w:rPr>
          <w:rFonts w:hint="eastAsia" w:ascii="仿宋" w:hAnsi="仿宋" w:eastAsia="仿宋" w:cs="仿宋"/>
          <w:sz w:val="32"/>
          <w:szCs w:val="32"/>
        </w:rPr>
        <w:t>开展“送法进企”活动23场次，覆盖企业86家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车驾管方面，</w:t>
      </w:r>
      <w:r>
        <w:rPr>
          <w:rFonts w:hint="eastAsia" w:ascii="仿宋" w:hAnsi="仿宋" w:eastAsia="仿宋" w:cs="仿宋"/>
          <w:sz w:val="32"/>
          <w:szCs w:val="32"/>
        </w:rPr>
        <w:t>在车管所设立“党员先锋岗”“老年人绿色通道”，推行“一窗受理、集成服务”模式，减少群众往返次数</w:t>
      </w:r>
      <w:r>
        <w:rPr>
          <w:rFonts w:hint="eastAsia" w:ascii="仿宋" w:hAnsi="仿宋" w:eastAsia="仿宋" w:cs="仿宋"/>
          <w:sz w:val="32"/>
          <w:szCs w:val="32"/>
          <w:lang w:eastAsia="zh-CN"/>
        </w:rPr>
        <w:t>；</w:t>
      </w:r>
      <w:r>
        <w:rPr>
          <w:rFonts w:hint="eastAsia" w:ascii="仿宋" w:hAnsi="仿宋" w:eastAsia="仿宋" w:cs="仿宋"/>
          <w:sz w:val="32"/>
          <w:szCs w:val="32"/>
        </w:rPr>
        <w:t>优化驾考服务流程，延长周末服务时间</w:t>
      </w:r>
      <w:r>
        <w:rPr>
          <w:rFonts w:hint="eastAsia" w:ascii="仿宋" w:hAnsi="仿宋" w:eastAsia="仿宋" w:cs="仿宋"/>
          <w:sz w:val="32"/>
          <w:szCs w:val="32"/>
          <w:lang w:eastAsia="zh-CN"/>
        </w:rPr>
        <w:t>累计</w:t>
      </w:r>
      <w:r>
        <w:rPr>
          <w:rFonts w:hint="eastAsia" w:ascii="仿宋" w:hAnsi="仿宋" w:eastAsia="仿宋" w:cs="仿宋"/>
          <w:sz w:val="32"/>
          <w:szCs w:val="32"/>
          <w:lang w:val="en-US" w:eastAsia="zh-CN"/>
        </w:rPr>
        <w:t>600</w:t>
      </w:r>
      <w:r>
        <w:rPr>
          <w:rFonts w:hint="eastAsia" w:ascii="仿宋" w:hAnsi="仿宋" w:eastAsia="仿宋" w:cs="仿宋"/>
          <w:sz w:val="32"/>
          <w:szCs w:val="32"/>
        </w:rPr>
        <w:t>小时，全年完成驾驶人考试</w:t>
      </w:r>
      <w:r>
        <w:rPr>
          <w:rFonts w:hint="eastAsia" w:ascii="仿宋" w:hAnsi="仿宋" w:eastAsia="仿宋" w:cs="仿宋"/>
          <w:sz w:val="32"/>
          <w:szCs w:val="32"/>
          <w:lang w:val="en-US" w:eastAsia="zh-CN"/>
        </w:rPr>
        <w:t>1.3万余</w:t>
      </w:r>
      <w:r>
        <w:rPr>
          <w:rFonts w:hint="eastAsia" w:ascii="仿宋" w:hAnsi="仿宋" w:eastAsia="仿宋" w:cs="仿宋"/>
          <w:sz w:val="32"/>
          <w:szCs w:val="32"/>
        </w:rPr>
        <w:t>人次</w:t>
      </w:r>
      <w:r>
        <w:rPr>
          <w:rFonts w:hint="eastAsia" w:ascii="仿宋" w:hAnsi="仿宋" w:eastAsia="仿宋" w:cs="仿宋"/>
          <w:sz w:val="32"/>
          <w:szCs w:val="32"/>
          <w:lang w:eastAsia="zh-CN"/>
        </w:rPr>
        <w:t>，</w:t>
      </w:r>
      <w:r>
        <w:rPr>
          <w:rFonts w:hint="eastAsia" w:ascii="仿宋" w:hAnsi="仿宋" w:eastAsia="仿宋" w:cs="仿宋"/>
          <w:sz w:val="32"/>
          <w:szCs w:val="32"/>
        </w:rPr>
        <w:t>服务效率提升</w:t>
      </w:r>
      <w:r>
        <w:rPr>
          <w:rFonts w:hint="eastAsia" w:ascii="仿宋" w:hAnsi="仿宋" w:eastAsia="仿宋" w:cs="仿宋"/>
          <w:sz w:val="32"/>
          <w:szCs w:val="32"/>
          <w:lang w:val="en-US" w:eastAsia="zh-CN"/>
        </w:rPr>
        <w:t>30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出入境管理方面，</w:t>
      </w:r>
      <w:r>
        <w:rPr>
          <w:rFonts w:hint="eastAsia" w:ascii="仿宋" w:hAnsi="仿宋" w:eastAsia="仿宋" w:cs="仿宋"/>
          <w:sz w:val="32"/>
          <w:szCs w:val="32"/>
          <w:lang w:eastAsia="zh-CN"/>
        </w:rPr>
        <w:t>稳步推进</w:t>
      </w:r>
      <w:r>
        <w:rPr>
          <w:rFonts w:hint="eastAsia" w:ascii="仿宋" w:hAnsi="仿宋" w:eastAsia="仿宋" w:cs="仿宋"/>
          <w:sz w:val="32"/>
          <w:szCs w:val="32"/>
          <w:lang w:val="en-US" w:eastAsia="zh-CN"/>
        </w:rPr>
        <w:t>工布江达、波密全域开放县，入林境外人员持续增多。</w:t>
      </w:r>
      <w:r>
        <w:rPr>
          <w:rFonts w:hint="eastAsia" w:ascii="仿宋" w:hAnsi="仿宋" w:eastAsia="仿宋" w:cs="仿宋"/>
          <w:b w:val="0"/>
          <w:bCs w:val="0"/>
          <w:color w:val="auto"/>
          <w:sz w:val="32"/>
          <w:szCs w:val="32"/>
          <w:lang w:val="en-US" w:eastAsia="zh-CN"/>
        </w:rPr>
        <w:t>在全</w:t>
      </w:r>
      <w:r>
        <w:rPr>
          <w:rFonts w:hint="eastAsia" w:ascii="仿宋" w:hAnsi="仿宋" w:eastAsia="仿宋" w:cs="仿宋"/>
          <w:sz w:val="32"/>
          <w:szCs w:val="32"/>
          <w:lang w:val="en-US" w:eastAsia="zh-CN"/>
        </w:rPr>
        <w:t>市26个公安派出所开通边境通行证办理权限</w:t>
      </w:r>
      <w:r>
        <w:rPr>
          <w:rFonts w:hint="eastAsia" w:ascii="仿宋" w:hAnsi="仿宋" w:eastAsia="仿宋" w:cs="仿宋"/>
          <w:b w:val="0"/>
          <w:bCs w:val="0"/>
          <w:color w:val="auto"/>
          <w:sz w:val="32"/>
          <w:szCs w:val="32"/>
          <w:lang w:val="en-US" w:eastAsia="zh-CN"/>
        </w:rPr>
        <w:t>，最大限度方便群众就近办理。</w:t>
      </w:r>
    </w:p>
    <w:p w14:paraId="2A8EA6C7">
      <w:pPr>
        <w:keepNext w:val="0"/>
        <w:keepLines w:val="0"/>
        <w:pageBreakBefore w:val="0"/>
        <w:widowControl w:val="0"/>
        <w:pBdr>
          <w:bottom w:val="single" w:color="FFFFFF" w:sz="6" w:space="15"/>
        </w:pBdr>
        <w:kinsoku/>
        <w:wordWrap/>
        <w:overflowPunct/>
        <w:topLinePunct w:val="0"/>
        <w:autoSpaceDE/>
        <w:autoSpaceDN/>
        <w:bidi w:val="0"/>
        <w:adjustRightInd/>
        <w:snapToGrid/>
        <w:spacing w:line="576" w:lineRule="exact"/>
        <w:ind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val="en" w:eastAsia="zh-CN"/>
        </w:rPr>
        <w:t>新质战斗力加速形成。</w:t>
      </w:r>
      <w:r>
        <w:rPr>
          <w:rFonts w:hint="eastAsia" w:ascii="仿宋" w:hAnsi="仿宋" w:eastAsia="仿宋" w:cs="仿宋"/>
          <w:b w:val="0"/>
          <w:bCs w:val="0"/>
          <w:color w:val="auto"/>
          <w:sz w:val="32"/>
          <w:szCs w:val="32"/>
          <w:lang w:val="en-US" w:eastAsia="zh-CN"/>
        </w:rPr>
        <w:t>新型基础设施攻坚突破。大力推进信息网络建设，稳步推进公安大数据平台建设，多个业务子系统以及通信平台、APP两个移动警务平台，“雅江节”期间推出“林安码”线上预约功能，服务保障活动10场次，注册人员1.16万人次，处理游客预约信息5600</w:t>
      </w:r>
      <w:r>
        <w:rPr>
          <w:rFonts w:hint="eastAsia" w:ascii="仿宋" w:hAnsi="仿宋" w:eastAsia="仿宋" w:cs="仿宋"/>
          <w:sz w:val="32"/>
          <w:szCs w:val="32"/>
          <w:lang w:val="en-US" w:eastAsia="zh-CN"/>
        </w:rPr>
        <w:t>余条，劝返无票人员60余人，极大提升了民警安检核验质效</w:t>
      </w:r>
      <w:r>
        <w:rPr>
          <w:rFonts w:hint="eastAsia" w:ascii="仿宋" w:hAnsi="仿宋" w:eastAsia="仿宋" w:cs="仿宋"/>
          <w:color w:val="auto"/>
          <w:sz w:val="32"/>
          <w:szCs w:val="32"/>
          <w:lang w:val="en-US" w:eastAsia="zh-CN"/>
        </w:rPr>
        <w:t>。</w:t>
      </w:r>
      <w:r>
        <w:rPr>
          <w:rFonts w:hint="eastAsia" w:ascii="仿宋" w:hAnsi="仿宋" w:eastAsia="仿宋" w:cs="仿宋"/>
          <w:b w:val="0"/>
          <w:bCs w:val="0"/>
          <w:color w:val="auto"/>
          <w:sz w:val="32"/>
          <w:szCs w:val="32"/>
          <w:lang w:val="en-US" w:eastAsia="zh-CN"/>
        </w:rPr>
        <w:t>新型装备建设加速推进。</w:t>
      </w:r>
      <w:r>
        <w:rPr>
          <w:rFonts w:hint="eastAsia" w:ascii="仿宋" w:hAnsi="仿宋" w:eastAsia="仿宋" w:cs="仿宋"/>
          <w:sz w:val="32"/>
          <w:szCs w:val="32"/>
          <w:lang w:eastAsia="zh-CN"/>
        </w:rPr>
        <w:t>加强</w:t>
      </w:r>
      <w:r>
        <w:rPr>
          <w:rFonts w:hint="eastAsia" w:ascii="仿宋" w:hAnsi="仿宋" w:eastAsia="仿宋" w:cs="仿宋"/>
          <w:sz w:val="32"/>
          <w:szCs w:val="32"/>
        </w:rPr>
        <w:t>“警鹰”无人机巡防</w:t>
      </w:r>
      <w:r>
        <w:rPr>
          <w:rFonts w:hint="eastAsia" w:ascii="仿宋" w:hAnsi="仿宋" w:eastAsia="仿宋" w:cs="仿宋"/>
          <w:sz w:val="32"/>
          <w:szCs w:val="32"/>
          <w:lang w:eastAsia="zh-CN"/>
        </w:rPr>
        <w:t>建设，配备</w:t>
      </w:r>
      <w:r>
        <w:rPr>
          <w:rFonts w:hint="eastAsia" w:ascii="仿宋" w:hAnsi="仿宋" w:eastAsia="仿宋" w:cs="仿宋"/>
          <w:sz w:val="32"/>
          <w:szCs w:val="32"/>
          <w:lang w:val="en-US" w:eastAsia="zh-CN"/>
        </w:rPr>
        <w:t>多台</w:t>
      </w:r>
      <w:r>
        <w:rPr>
          <w:rFonts w:hint="eastAsia" w:ascii="仿宋" w:hAnsi="仿宋" w:eastAsia="仿宋" w:cs="仿宋"/>
          <w:sz w:val="32"/>
          <w:szCs w:val="32"/>
        </w:rPr>
        <w:t>无人机</w:t>
      </w:r>
      <w:r>
        <w:rPr>
          <w:rFonts w:hint="eastAsia" w:ascii="仿宋" w:hAnsi="仿宋" w:eastAsia="仿宋" w:cs="仿宋"/>
          <w:sz w:val="32"/>
          <w:szCs w:val="32"/>
          <w:lang w:val="en-US" w:eastAsia="zh-CN"/>
        </w:rPr>
        <w:t>、反制设备，开展无人机巡逻1200余架次，服务保障大型安保，反制系统识别无人机70架，驱离20架。“林芝猎犬”科研项目再创佳绩，二期科研项目批准立项，幼犬警用适配率达91.6%；参加全国警犬技术交流推荐会，首次跨省推介本土优良犬种；参加全区第四届刑事技术技能比赛，荣获警犬技术</w:t>
      </w:r>
      <w:r>
        <w:rPr>
          <w:rFonts w:hint="eastAsia" w:ascii="仿宋" w:hAnsi="仿宋" w:eastAsia="仿宋" w:cs="仿宋"/>
          <w:sz w:val="32"/>
          <w:szCs w:val="32"/>
        </w:rPr>
        <w:t>团体第一名、追踪与搜爆专业双料冠军</w:t>
      </w:r>
      <w:r>
        <w:rPr>
          <w:rFonts w:hint="eastAsia" w:ascii="仿宋" w:hAnsi="仿宋" w:eastAsia="仿宋" w:cs="仿宋"/>
          <w:sz w:val="32"/>
          <w:szCs w:val="32"/>
          <w:lang w:eastAsia="zh-CN"/>
        </w:rPr>
        <w:t>。</w:t>
      </w:r>
    </w:p>
    <w:p w14:paraId="78105395">
      <w:pPr>
        <w:keepNext w:val="0"/>
        <w:keepLines w:val="0"/>
        <w:pageBreakBefore w:val="0"/>
        <w:widowControl w:val="0"/>
        <w:pBdr>
          <w:bottom w:val="single" w:color="FFFFFF" w:sz="6" w:space="15"/>
        </w:pBdr>
        <w:kinsoku/>
        <w:wordWrap/>
        <w:overflowPunct/>
        <w:topLinePunct w:val="0"/>
        <w:autoSpaceDE/>
        <w:autoSpaceDN/>
        <w:bidi w:val="0"/>
        <w:adjustRightInd/>
        <w:snapToGrid/>
        <w:spacing w:line="576" w:lineRule="exact"/>
        <w:ind w:firstLine="643"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val="en" w:eastAsia="zh-CN"/>
        </w:rPr>
        <w:t>队伍内生动力显著增强。</w:t>
      </w:r>
      <w:r>
        <w:rPr>
          <w:rFonts w:hint="eastAsia" w:ascii="仿宋" w:hAnsi="仿宋" w:eastAsia="仿宋" w:cs="仿宋"/>
          <w:b w:val="0"/>
          <w:bCs w:val="0"/>
          <w:sz w:val="32"/>
          <w:szCs w:val="32"/>
          <w:lang w:val="en" w:eastAsia="zh-CN"/>
        </w:rPr>
        <w:t>深化作风建设，纵深推进纪律作风教育整顿，严格落实公安机关各项铁规禁令，巩固扩大中央八项规定学习教育成果，扎实推进群众身边不正之风和腐败问题集中整治。</w:t>
      </w:r>
      <w:r>
        <w:rPr>
          <w:rFonts w:hint="eastAsia" w:ascii="仿宋" w:hAnsi="仿宋" w:eastAsia="仿宋" w:cs="仿宋"/>
          <w:b w:val="0"/>
          <w:bCs w:val="0"/>
          <w:sz w:val="32"/>
          <w:szCs w:val="32"/>
          <w:lang w:val="en-US" w:eastAsia="zh-CN"/>
        </w:rPr>
        <w:t>深化能力建设，把教育训练摆在更加突出的位置，大力实施以战斗力提升为核心的素质强警工程，</w:t>
      </w:r>
      <w:r>
        <w:rPr>
          <w:rFonts w:hint="eastAsia" w:ascii="仿宋" w:hAnsi="仿宋" w:eastAsia="仿宋" w:cs="仿宋"/>
          <w:color w:val="auto"/>
          <w:sz w:val="32"/>
          <w:szCs w:val="32"/>
          <w:lang w:val="en-US" w:eastAsia="zh-CN"/>
        </w:rPr>
        <w:t>举办政治轮训、专业训练等教育培训460余场，“请进来、走出去”双向选派民警开展跟岗送教，达到了以点带面提升整体能力的目的，民警专业能力水平进一步提升；深化保障建设，坚持严管厚爱结合、激励约束并重，</w:t>
      </w:r>
      <w:r>
        <w:rPr>
          <w:rFonts w:hint="eastAsia" w:ascii="仿宋" w:hAnsi="仿宋" w:eastAsia="仿宋" w:cs="仿宋"/>
          <w:sz w:val="32"/>
          <w:szCs w:val="32"/>
          <w:lang w:eastAsia="zh-CN"/>
        </w:rPr>
        <w:t>充分发挥先进典型示范引领作用；</w:t>
      </w:r>
      <w:r>
        <w:rPr>
          <w:rFonts w:hint="eastAsia" w:ascii="仿宋" w:hAnsi="仿宋" w:eastAsia="仿宋" w:cs="仿宋"/>
          <w:color w:val="auto"/>
          <w:sz w:val="32"/>
          <w:szCs w:val="32"/>
          <w:lang w:val="en-US" w:eastAsia="zh-CN"/>
        </w:rPr>
        <w:t>为全市118个基层所队配发价值110万元AED急救设备和警用装备、急救药品，与10家医院协议开通民辅警紧急就医“绿色通道”，队伍“幸福指数”稳步提升。</w:t>
      </w:r>
    </w:p>
    <w:p w14:paraId="4FF971D5">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（三）绩效指标完成情况分析</w:t>
      </w:r>
    </w:p>
    <w:p w14:paraId="3250E52C">
      <w:pPr>
        <w:keepNext w:val="0"/>
        <w:keepLines w:val="0"/>
        <w:pageBreakBefore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kern w:val="0"/>
          <w:sz w:val="32"/>
          <w:szCs w:val="32"/>
          <w:highlight w:val="none"/>
          <w:lang w:val="en-US" w:eastAsia="zh-CN"/>
        </w:rPr>
        <w:t xml:space="preserve"> </w:t>
      </w:r>
      <w:r>
        <w:rPr>
          <w:rFonts w:hint="eastAsia" w:ascii="仿宋" w:hAnsi="仿宋" w:eastAsia="仿宋" w:cs="仿宋"/>
          <w:b/>
          <w:bCs/>
          <w:kern w:val="0"/>
          <w:sz w:val="32"/>
          <w:szCs w:val="32"/>
          <w:highlight w:val="none"/>
        </w:rPr>
        <w:t>1.产出指标完成情况分析</w:t>
      </w:r>
    </w:p>
    <w:p w14:paraId="03F42866">
      <w:pPr>
        <w:keepNext w:val="0"/>
        <w:keepLines w:val="0"/>
        <w:pageBreakBefore w:val="0"/>
        <w:widowControl/>
        <w:kinsoku/>
        <w:wordWrap/>
        <w:overflowPunct/>
        <w:topLinePunct w:val="0"/>
        <w:autoSpaceDE/>
        <w:autoSpaceDN/>
        <w:bidi w:val="0"/>
        <w:adjustRightInd/>
        <w:snapToGrid/>
        <w:spacing w:before="0" w:beforeLines="0" w:after="0" w:afterLines="0" w:line="576" w:lineRule="exact"/>
        <w:ind w:firstLine="480" w:firstLineChars="15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（1）数量指标。</w:t>
      </w:r>
      <w:r>
        <w:rPr>
          <w:rFonts w:hint="eastAsia" w:ascii="仿宋" w:hAnsi="仿宋" w:eastAsia="仿宋" w:cs="仿宋"/>
          <w:kern w:val="0"/>
          <w:sz w:val="32"/>
          <w:szCs w:val="32"/>
          <w:highlight w:val="none"/>
          <w:lang w:eastAsia="zh-CN"/>
        </w:rPr>
        <w:t>公安机关业务装备（设备）配备及购置数量</w:t>
      </w:r>
      <w:r>
        <w:rPr>
          <w:rFonts w:hint="eastAsia" w:ascii="仿宋" w:hAnsi="仿宋" w:eastAsia="仿宋" w:cs="仿宋"/>
          <w:kern w:val="0"/>
          <w:sz w:val="32"/>
          <w:szCs w:val="32"/>
          <w:highlight w:val="none"/>
          <w:lang w:val="en-US" w:eastAsia="zh-CN"/>
        </w:rPr>
        <w:t>1251件（台），符合年初设定的指标值（≧1200），根据年初设定的分值及评分办法，该项得4分；支持公安机关数量1个，</w:t>
      </w:r>
      <w:r>
        <w:rPr>
          <w:rFonts w:hint="eastAsia" w:ascii="仿宋" w:hAnsi="仿宋" w:eastAsia="仿宋" w:cs="仿宋"/>
          <w:kern w:val="0"/>
          <w:sz w:val="32"/>
          <w:szCs w:val="32"/>
          <w:highlight w:val="none"/>
        </w:rPr>
        <w:t>符合年初设定的</w:t>
      </w:r>
      <w:r>
        <w:rPr>
          <w:rFonts w:hint="eastAsia" w:ascii="仿宋" w:hAnsi="仿宋" w:eastAsia="仿宋" w:cs="仿宋"/>
          <w:kern w:val="0"/>
          <w:sz w:val="32"/>
          <w:szCs w:val="32"/>
          <w:highlight w:val="none"/>
          <w:lang w:eastAsia="zh-CN"/>
        </w:rPr>
        <w:t>指标值（</w:t>
      </w:r>
      <w:r>
        <w:rPr>
          <w:rFonts w:hint="eastAsia" w:ascii="仿宋" w:hAnsi="仿宋" w:eastAsia="仿宋" w:cs="仿宋"/>
          <w:kern w:val="0"/>
          <w:sz w:val="32"/>
          <w:szCs w:val="32"/>
          <w:highlight w:val="none"/>
          <w:lang w:val="en-US" w:eastAsia="zh-CN"/>
        </w:rPr>
        <w:t>1个</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，根据年初设定的分值及评分办法，该项得5分</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治安、刑事拘留人次51人次，符合年初设定的指标值（≧50），根据年初设定的分值及评分办法，该项得4分；缴获毒品数量43</w:t>
      </w:r>
      <w:bookmarkStart w:id="4" w:name="_GoBack"/>
      <w:bookmarkEnd w:id="4"/>
      <w:r>
        <w:rPr>
          <w:rFonts w:hint="eastAsia" w:ascii="仿宋" w:hAnsi="仿宋" w:eastAsia="仿宋" w:cs="仿宋"/>
          <w:kern w:val="0"/>
          <w:sz w:val="32"/>
          <w:szCs w:val="32"/>
          <w:highlight w:val="none"/>
          <w:lang w:val="en-US" w:eastAsia="zh-CN"/>
        </w:rPr>
        <w:t>克（颗），</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根据年初设定的分值及评分办法，该项得5分；支持公安机关办案（业务）数量45件，</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40）</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根据年初设定的分值及评分办法，该项得4分；</w:t>
      </w:r>
      <w:r>
        <w:rPr>
          <w:rFonts w:hint="eastAsia" w:ascii="仿宋" w:hAnsi="仿宋" w:eastAsia="仿宋" w:cs="仿宋"/>
          <w:kern w:val="0"/>
          <w:sz w:val="32"/>
          <w:szCs w:val="32"/>
          <w:highlight w:val="none"/>
          <w:lang w:eastAsia="zh-CN"/>
        </w:rPr>
        <w:t>实战训练参训人次</w:t>
      </w:r>
      <w:r>
        <w:rPr>
          <w:rFonts w:hint="eastAsia" w:ascii="仿宋" w:hAnsi="仿宋" w:eastAsia="仿宋" w:cs="仿宋"/>
          <w:kern w:val="0"/>
          <w:sz w:val="32"/>
          <w:szCs w:val="32"/>
          <w:highlight w:val="none"/>
          <w:lang w:val="en-US" w:eastAsia="zh-CN"/>
        </w:rPr>
        <w:t>2109</w:t>
      </w:r>
      <w:r>
        <w:rPr>
          <w:rFonts w:hint="eastAsia" w:ascii="仿宋" w:hAnsi="仿宋" w:eastAsia="仿宋" w:cs="仿宋"/>
          <w:color w:val="auto"/>
          <w:kern w:val="0"/>
          <w:sz w:val="32"/>
          <w:szCs w:val="32"/>
          <w:highlight w:val="none"/>
          <w:lang w:val="en-US" w:eastAsia="zh-CN"/>
        </w:rPr>
        <w:t>人</w:t>
      </w:r>
      <w:r>
        <w:rPr>
          <w:rFonts w:hint="eastAsia" w:ascii="仿宋" w:hAnsi="仿宋" w:eastAsia="仿宋" w:cs="仿宋"/>
          <w:kern w:val="0"/>
          <w:sz w:val="32"/>
          <w:szCs w:val="32"/>
          <w:highlight w:val="none"/>
          <w:lang w:val="en-US" w:eastAsia="zh-CN"/>
        </w:rPr>
        <w:t>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符合</w:t>
      </w:r>
      <w:r>
        <w:rPr>
          <w:rFonts w:hint="eastAsia" w:ascii="仿宋" w:hAnsi="仿宋" w:eastAsia="仿宋" w:cs="仿宋"/>
          <w:kern w:val="0"/>
          <w:sz w:val="32"/>
          <w:szCs w:val="32"/>
          <w:highlight w:val="none"/>
          <w:lang w:eastAsia="zh-CN"/>
        </w:rPr>
        <w:t>年初设定的指标值（≧</w:t>
      </w:r>
      <w:r>
        <w:rPr>
          <w:rFonts w:hint="eastAsia" w:ascii="仿宋" w:hAnsi="仿宋" w:eastAsia="仿宋" w:cs="仿宋"/>
          <w:kern w:val="0"/>
          <w:sz w:val="32"/>
          <w:szCs w:val="32"/>
          <w:highlight w:val="none"/>
          <w:lang w:val="en-US" w:eastAsia="zh-CN"/>
        </w:rPr>
        <w:t>1200</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根据年初设定的分值及评分办法，该项得5分；</w:t>
      </w:r>
    </w:p>
    <w:p w14:paraId="4F8F7993">
      <w:pPr>
        <w:keepNext w:val="0"/>
        <w:keepLines w:val="0"/>
        <w:pageBreakBefore w:val="0"/>
        <w:widowControl/>
        <w:kinsoku/>
        <w:wordWrap/>
        <w:overflowPunct/>
        <w:topLinePunct w:val="0"/>
        <w:autoSpaceDE/>
        <w:autoSpaceDN/>
        <w:bidi w:val="0"/>
        <w:adjustRightInd/>
        <w:snapToGrid/>
        <w:spacing w:before="0" w:beforeLines="0" w:after="0" w:afterLines="0" w:line="576" w:lineRule="exact"/>
        <w:ind w:firstLine="480" w:firstLineChars="15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（2）质量指标。装备验收合格率100%，</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100%）</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根据年初设定的分值及评分办法，该项得4分；公安机关案件破案率95%，</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≧81.5%）</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根据年初设定的分值及评分办法，该项得5分</w:t>
      </w:r>
    </w:p>
    <w:p w14:paraId="1DA86502">
      <w:pPr>
        <w:keepNext w:val="0"/>
        <w:keepLines w:val="0"/>
        <w:pageBreakBefore w:val="0"/>
        <w:widowControl/>
        <w:kinsoku/>
        <w:wordWrap/>
        <w:overflowPunct/>
        <w:topLinePunct w:val="0"/>
        <w:autoSpaceDE/>
        <w:autoSpaceDN/>
        <w:bidi w:val="0"/>
        <w:adjustRightInd/>
        <w:snapToGrid/>
        <w:spacing w:before="0" w:beforeLines="0" w:after="0" w:afterLines="0" w:line="576"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（3）时效指标。资金下拨及时率100%，</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100%）</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根据年初设定的分值及评分办法，该项得4分；案件响应及时率100%，</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≧90%）</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根据年初设定的分值及评分办法，该项得5分；</w:t>
      </w:r>
    </w:p>
    <w:p w14:paraId="6B467357">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成本指标。全年一般公共预算资金执行进度91.74%，</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≧85%）</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根据年初设定的分值及评分办法，该项得5分；全年电费支出成本319.83万元，</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≦357.16万元）</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根据年初设定的分值及评分办法，该项得5分。</w:t>
      </w:r>
    </w:p>
    <w:p w14:paraId="4636796C">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本项评价项目总分</w:t>
      </w:r>
      <w:r>
        <w:rPr>
          <w:rFonts w:hint="eastAsia" w:ascii="仿宋" w:hAnsi="仿宋" w:eastAsia="仿宋" w:cs="仿宋"/>
          <w:color w:val="auto"/>
          <w:sz w:val="32"/>
          <w:szCs w:val="32"/>
          <w:highlight w:val="none"/>
          <w:lang w:val="en-US" w:eastAsia="zh-CN"/>
        </w:rPr>
        <w:t>55分，2025年本项自评项目得分55分。</w:t>
      </w:r>
    </w:p>
    <w:p w14:paraId="3C1E99A7">
      <w:pPr>
        <w:keepNext w:val="0"/>
        <w:keepLines w:val="0"/>
        <w:pageBreakBefore w:val="0"/>
        <w:widowControl/>
        <w:kinsoku/>
        <w:wordWrap/>
        <w:overflowPunct/>
        <w:topLinePunct w:val="0"/>
        <w:autoSpaceDE/>
        <w:autoSpaceDN/>
        <w:bidi w:val="0"/>
        <w:adjustRightInd/>
        <w:snapToGrid/>
        <w:spacing w:before="0" w:beforeLines="0" w:after="0" w:afterLines="0" w:line="576" w:lineRule="exact"/>
        <w:ind w:firstLine="315" w:firstLineChars="98"/>
        <w:jc w:val="left"/>
        <w:textAlignment w:val="auto"/>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val="en-US" w:eastAsia="zh-CN"/>
        </w:rPr>
        <w:t xml:space="preserve">  </w:t>
      </w:r>
      <w:r>
        <w:rPr>
          <w:rFonts w:hint="eastAsia" w:ascii="仿宋" w:hAnsi="仿宋" w:eastAsia="仿宋" w:cs="仿宋"/>
          <w:b/>
          <w:bCs/>
          <w:kern w:val="0"/>
          <w:sz w:val="32"/>
          <w:szCs w:val="32"/>
          <w:highlight w:val="none"/>
        </w:rPr>
        <w:t>2.效益指标完成情况分析</w:t>
      </w:r>
    </w:p>
    <w:p w14:paraId="1ABE5954">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6" w:lineRule="exact"/>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1）经济效益指标。挽回经济损失91.38</w:t>
      </w:r>
      <w:r>
        <w:rPr>
          <w:rFonts w:hint="eastAsia" w:ascii="仿宋" w:hAnsi="仿宋" w:eastAsia="仿宋" w:cs="仿宋"/>
          <w:color w:val="auto"/>
          <w:kern w:val="0"/>
          <w:sz w:val="32"/>
          <w:szCs w:val="32"/>
          <w:highlight w:val="none"/>
          <w:lang w:val="en-US" w:eastAsia="zh-CN"/>
        </w:rPr>
        <w:t>万</w:t>
      </w:r>
      <w:r>
        <w:rPr>
          <w:rFonts w:hint="eastAsia" w:ascii="仿宋" w:hAnsi="仿宋" w:eastAsia="仿宋" w:cs="仿宋"/>
          <w:kern w:val="0"/>
          <w:sz w:val="32"/>
          <w:szCs w:val="32"/>
          <w:highlight w:val="none"/>
          <w:lang w:val="en-US" w:eastAsia="zh-CN"/>
        </w:rPr>
        <w:t>元，符合</w:t>
      </w:r>
      <w:r>
        <w:rPr>
          <w:rFonts w:hint="eastAsia" w:ascii="仿宋" w:hAnsi="仿宋" w:eastAsia="仿宋" w:cs="仿宋"/>
          <w:kern w:val="0"/>
          <w:sz w:val="32"/>
          <w:szCs w:val="32"/>
          <w:highlight w:val="none"/>
        </w:rPr>
        <w:t>年初设定的</w:t>
      </w:r>
      <w:r>
        <w:rPr>
          <w:rFonts w:hint="eastAsia" w:ascii="仿宋" w:hAnsi="仿宋" w:eastAsia="仿宋" w:cs="仿宋"/>
          <w:kern w:val="0"/>
          <w:sz w:val="32"/>
          <w:szCs w:val="32"/>
          <w:highlight w:val="none"/>
          <w:lang w:val="en-US" w:eastAsia="zh-CN"/>
        </w:rPr>
        <w:t>指标值（</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80万元），根据年初设定的分值及评分办法，该项得5分。</w:t>
      </w:r>
    </w:p>
    <w:p w14:paraId="1324AC39">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6"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（2）社会效益指标。为经济社会发展提供良好环境，定性指标：稳步提升，符合</w:t>
      </w:r>
      <w:r>
        <w:rPr>
          <w:rFonts w:hint="eastAsia" w:ascii="仿宋" w:hAnsi="仿宋" w:eastAsia="仿宋" w:cs="仿宋"/>
          <w:kern w:val="0"/>
          <w:sz w:val="32"/>
          <w:szCs w:val="32"/>
          <w:highlight w:val="none"/>
        </w:rPr>
        <w:t>年初设定的</w:t>
      </w:r>
      <w:r>
        <w:rPr>
          <w:rFonts w:hint="eastAsia" w:ascii="仿宋" w:hAnsi="仿宋" w:eastAsia="仿宋" w:cs="仿宋"/>
          <w:kern w:val="0"/>
          <w:sz w:val="32"/>
          <w:szCs w:val="32"/>
          <w:highlight w:val="none"/>
          <w:lang w:val="en-US" w:eastAsia="zh-CN"/>
        </w:rPr>
        <w:t>指标值（稳步提升），根据年初设定的分值及评分办法，该项得5分；社会公众对禁毒工作的认知度97.03%，，</w:t>
      </w:r>
      <w:r>
        <w:rPr>
          <w:rFonts w:hint="eastAsia" w:ascii="仿宋" w:hAnsi="仿宋" w:eastAsia="仿宋" w:cs="仿宋"/>
          <w:kern w:val="0"/>
          <w:sz w:val="32"/>
          <w:szCs w:val="32"/>
          <w:highlight w:val="none"/>
          <w:lang w:eastAsia="zh-CN"/>
        </w:rPr>
        <w:t>符合年初设定的指标值（≧</w:t>
      </w:r>
      <w:r>
        <w:rPr>
          <w:rFonts w:hint="eastAsia" w:ascii="仿宋" w:hAnsi="仿宋" w:eastAsia="仿宋" w:cs="仿宋"/>
          <w:kern w:val="0"/>
          <w:sz w:val="32"/>
          <w:szCs w:val="32"/>
          <w:highlight w:val="none"/>
          <w:lang w:val="en-US" w:eastAsia="zh-CN"/>
        </w:rPr>
        <w:t>95%）</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根据年初设定的分值及评分办法，该项得10分；</w:t>
      </w:r>
    </w:p>
    <w:p w14:paraId="3B1ACBFD">
      <w:pPr>
        <w:pStyle w:val="8"/>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0"/>
          <w:sz w:val="32"/>
          <w:szCs w:val="32"/>
          <w:highlight w:val="none"/>
          <w:lang w:val="en-US" w:eastAsia="zh-CN"/>
        </w:rPr>
        <w:t>（3）可持续影响指标。对化解社会矛盾、维护公平正义效率，定性指标：稳步提升，符合</w:t>
      </w:r>
      <w:r>
        <w:rPr>
          <w:rFonts w:hint="eastAsia" w:ascii="仿宋" w:hAnsi="仿宋" w:eastAsia="仿宋" w:cs="仿宋"/>
          <w:kern w:val="0"/>
          <w:sz w:val="32"/>
          <w:szCs w:val="32"/>
          <w:highlight w:val="none"/>
        </w:rPr>
        <w:t>年初设定的</w:t>
      </w:r>
      <w:r>
        <w:rPr>
          <w:rFonts w:hint="eastAsia" w:ascii="仿宋" w:hAnsi="仿宋" w:eastAsia="仿宋" w:cs="仿宋"/>
          <w:kern w:val="0"/>
          <w:sz w:val="32"/>
          <w:szCs w:val="32"/>
          <w:highlight w:val="none"/>
          <w:lang w:val="en-US" w:eastAsia="zh-CN"/>
        </w:rPr>
        <w:t>指标值（稳步提升），根据年初设定的分值及评分办法，该项得5分；</w:t>
      </w:r>
    </w:p>
    <w:p w14:paraId="3A77A158">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本项评价项目总分</w:t>
      </w:r>
      <w:r>
        <w:rPr>
          <w:rFonts w:hint="eastAsia" w:ascii="仿宋" w:hAnsi="仿宋" w:eastAsia="仿宋" w:cs="仿宋"/>
          <w:color w:val="auto"/>
          <w:sz w:val="32"/>
          <w:szCs w:val="32"/>
          <w:highlight w:val="none"/>
          <w:lang w:val="en-US" w:eastAsia="zh-CN"/>
        </w:rPr>
        <w:t>25分，2025年本项自评项目得分30分。</w:t>
      </w:r>
    </w:p>
    <w:p w14:paraId="2BDE174A">
      <w:pPr>
        <w:keepNext w:val="0"/>
        <w:keepLines w:val="0"/>
        <w:pageBreakBefore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kern w:val="0"/>
          <w:sz w:val="32"/>
          <w:szCs w:val="32"/>
          <w:highlight w:val="none"/>
          <w:lang w:val="en-US" w:eastAsia="zh-CN"/>
        </w:rPr>
        <w:t xml:space="preserve">  </w:t>
      </w:r>
      <w:r>
        <w:rPr>
          <w:rFonts w:hint="eastAsia" w:ascii="仿宋" w:hAnsi="仿宋" w:eastAsia="仿宋" w:cs="仿宋"/>
          <w:b/>
          <w:bCs/>
          <w:kern w:val="0"/>
          <w:sz w:val="32"/>
          <w:szCs w:val="32"/>
          <w:highlight w:val="none"/>
        </w:rPr>
        <w:t>3.满意度指标完成情况分析</w:t>
      </w:r>
    </w:p>
    <w:p w14:paraId="6681A1CA">
      <w:pPr>
        <w:keepNext w:val="0"/>
        <w:keepLines w:val="0"/>
        <w:pageBreakBefore w:val="0"/>
        <w:widowControl/>
        <w:kinsoku/>
        <w:wordWrap/>
        <w:overflowPunct/>
        <w:topLinePunct w:val="0"/>
        <w:autoSpaceDE/>
        <w:autoSpaceDN/>
        <w:bidi w:val="0"/>
        <w:adjustRightInd/>
        <w:snapToGrid/>
        <w:spacing w:before="0" w:beforeLines="0" w:after="0" w:afterLines="0" w:line="576" w:lineRule="exact"/>
        <w:ind w:firstLine="480" w:firstLineChars="15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 （1）服务对象满意度指标。公</w:t>
      </w:r>
      <w:r>
        <w:rPr>
          <w:rFonts w:hint="eastAsia" w:ascii="仿宋" w:hAnsi="仿宋" w:eastAsia="仿宋" w:cs="仿宋"/>
          <w:color w:val="auto"/>
          <w:kern w:val="0"/>
          <w:sz w:val="32"/>
          <w:szCs w:val="32"/>
          <w:highlight w:val="none"/>
          <w:lang w:val="en-US" w:eastAsia="zh-CN"/>
        </w:rPr>
        <w:t>众安全感指数98.15%，</w:t>
      </w:r>
      <w:r>
        <w:rPr>
          <w:rFonts w:hint="eastAsia" w:ascii="仿宋" w:hAnsi="仿宋" w:eastAsia="仿宋" w:cs="仿宋"/>
          <w:color w:val="auto"/>
          <w:kern w:val="0"/>
          <w:sz w:val="32"/>
          <w:szCs w:val="32"/>
          <w:highlight w:val="none"/>
        </w:rPr>
        <w:t>符合年初设定的</w:t>
      </w:r>
      <w:r>
        <w:rPr>
          <w:rFonts w:hint="eastAsia" w:ascii="仿宋" w:hAnsi="仿宋" w:eastAsia="仿宋" w:cs="仿宋"/>
          <w:color w:val="auto"/>
          <w:kern w:val="0"/>
          <w:sz w:val="32"/>
          <w:szCs w:val="32"/>
          <w:highlight w:val="none"/>
          <w:lang w:val="en-US" w:eastAsia="zh-CN"/>
        </w:rPr>
        <w:t>指标值(≥96%)，</w:t>
      </w:r>
      <w:r>
        <w:rPr>
          <w:rFonts w:hint="eastAsia" w:ascii="仿宋" w:hAnsi="仿宋" w:eastAsia="仿宋" w:cs="仿宋"/>
          <w:kern w:val="0"/>
          <w:sz w:val="32"/>
          <w:szCs w:val="32"/>
          <w:highlight w:val="none"/>
          <w:lang w:val="en-US" w:eastAsia="zh-CN"/>
        </w:rPr>
        <w:t>根据年初设定的分值及评分办法，该项得4分</w:t>
      </w:r>
      <w:r>
        <w:rPr>
          <w:rFonts w:hint="eastAsia" w:ascii="仿宋" w:hAnsi="仿宋" w:eastAsia="仿宋" w:cs="仿宋"/>
          <w:color w:val="auto"/>
          <w:kern w:val="0"/>
          <w:sz w:val="32"/>
          <w:szCs w:val="32"/>
          <w:highlight w:val="none"/>
          <w:lang w:eastAsia="zh-CN"/>
        </w:rPr>
        <w:t>；公安执法满意度</w:t>
      </w:r>
      <w:r>
        <w:rPr>
          <w:rFonts w:hint="eastAsia" w:ascii="仿宋" w:hAnsi="仿宋" w:eastAsia="仿宋" w:cs="仿宋"/>
          <w:color w:val="auto"/>
          <w:kern w:val="0"/>
          <w:sz w:val="32"/>
          <w:szCs w:val="32"/>
          <w:highlight w:val="none"/>
          <w:lang w:val="en-US" w:eastAsia="zh-CN"/>
        </w:rPr>
        <w:t>98.45%，</w:t>
      </w:r>
      <w:r>
        <w:rPr>
          <w:rFonts w:hint="eastAsia" w:ascii="仿宋" w:hAnsi="仿宋" w:eastAsia="仿宋" w:cs="仿宋"/>
          <w:color w:val="auto"/>
          <w:kern w:val="0"/>
          <w:sz w:val="32"/>
          <w:szCs w:val="32"/>
          <w:highlight w:val="none"/>
        </w:rPr>
        <w:t>符合年初设定的</w:t>
      </w:r>
      <w:r>
        <w:rPr>
          <w:rFonts w:hint="eastAsia" w:ascii="仿宋" w:hAnsi="仿宋" w:eastAsia="仿宋" w:cs="仿宋"/>
          <w:color w:val="auto"/>
          <w:kern w:val="0"/>
          <w:sz w:val="32"/>
          <w:szCs w:val="32"/>
          <w:highlight w:val="none"/>
          <w:lang w:val="en-US" w:eastAsia="zh-CN"/>
        </w:rPr>
        <w:t>指标值(≥968%)，</w:t>
      </w:r>
      <w:r>
        <w:rPr>
          <w:rFonts w:hint="eastAsia" w:ascii="仿宋" w:hAnsi="仿宋" w:eastAsia="仿宋" w:cs="仿宋"/>
          <w:kern w:val="0"/>
          <w:sz w:val="32"/>
          <w:szCs w:val="32"/>
          <w:highlight w:val="none"/>
          <w:lang w:val="en-US" w:eastAsia="zh-CN"/>
        </w:rPr>
        <w:t>根据年初设定的分值及评分办法，该项得4分</w:t>
      </w:r>
      <w:r>
        <w:rPr>
          <w:rFonts w:hint="eastAsia" w:ascii="仿宋" w:hAnsi="仿宋" w:eastAsia="仿宋" w:cs="仿宋"/>
          <w:color w:val="auto"/>
          <w:kern w:val="0"/>
          <w:sz w:val="32"/>
          <w:szCs w:val="32"/>
          <w:highlight w:val="none"/>
          <w:lang w:eastAsia="zh-CN"/>
        </w:rPr>
        <w:t>；办案人员满意度</w:t>
      </w:r>
      <w:r>
        <w:rPr>
          <w:rFonts w:hint="eastAsia" w:ascii="仿宋" w:hAnsi="仿宋" w:eastAsia="仿宋" w:cs="仿宋"/>
          <w:color w:val="auto"/>
          <w:kern w:val="0"/>
          <w:sz w:val="32"/>
          <w:szCs w:val="32"/>
          <w:highlight w:val="none"/>
          <w:lang w:val="en-US" w:eastAsia="zh-CN"/>
        </w:rPr>
        <w:t>98.35%，</w:t>
      </w:r>
      <w:r>
        <w:rPr>
          <w:rFonts w:hint="eastAsia" w:ascii="仿宋" w:hAnsi="仿宋" w:eastAsia="仿宋" w:cs="仿宋"/>
          <w:color w:val="auto"/>
          <w:kern w:val="0"/>
          <w:sz w:val="32"/>
          <w:szCs w:val="32"/>
          <w:highlight w:val="none"/>
        </w:rPr>
        <w:t>符合年初设定的</w:t>
      </w:r>
      <w:r>
        <w:rPr>
          <w:rFonts w:hint="eastAsia" w:ascii="仿宋" w:hAnsi="仿宋" w:eastAsia="仿宋" w:cs="仿宋"/>
          <w:color w:val="auto"/>
          <w:kern w:val="0"/>
          <w:sz w:val="32"/>
          <w:szCs w:val="32"/>
          <w:highlight w:val="none"/>
          <w:lang w:val="en-US" w:eastAsia="zh-CN"/>
        </w:rPr>
        <w:t>指标值(≥96%)，</w:t>
      </w:r>
      <w:r>
        <w:rPr>
          <w:rFonts w:hint="eastAsia" w:ascii="仿宋" w:hAnsi="仿宋" w:eastAsia="仿宋" w:cs="仿宋"/>
          <w:kern w:val="0"/>
          <w:sz w:val="32"/>
          <w:szCs w:val="32"/>
          <w:highlight w:val="none"/>
          <w:lang w:val="en-US" w:eastAsia="zh-CN"/>
        </w:rPr>
        <w:t>根据年初设定的分值及评分办法，该项得2分</w:t>
      </w:r>
      <w:r>
        <w:rPr>
          <w:rFonts w:hint="eastAsia" w:ascii="仿宋" w:hAnsi="仿宋" w:eastAsia="仿宋" w:cs="仿宋"/>
          <w:color w:val="auto"/>
          <w:kern w:val="0"/>
          <w:sz w:val="32"/>
          <w:szCs w:val="32"/>
          <w:highlight w:val="none"/>
          <w:lang w:eastAsia="zh-CN"/>
        </w:rPr>
        <w:t>；</w:t>
      </w:r>
    </w:p>
    <w:p w14:paraId="7CBE8BD3">
      <w:pPr>
        <w:keepNext w:val="0"/>
        <w:keepLines w:val="0"/>
        <w:pageBreakBefore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sz w:val="32"/>
          <w:szCs w:val="32"/>
          <w:highlight w:val="none"/>
          <w:lang w:eastAsia="zh-CN"/>
        </w:rPr>
        <w:t>本项评价项目总分</w:t>
      </w:r>
      <w:r>
        <w:rPr>
          <w:rFonts w:hint="eastAsia" w:ascii="仿宋" w:hAnsi="仿宋" w:eastAsia="仿宋" w:cs="仿宋"/>
          <w:color w:val="auto"/>
          <w:sz w:val="32"/>
          <w:szCs w:val="32"/>
          <w:highlight w:val="none"/>
          <w:lang w:val="en-US" w:eastAsia="zh-CN"/>
        </w:rPr>
        <w:t>10分，2025年本项自评项目得分10分。</w:t>
      </w:r>
    </w:p>
    <w:p w14:paraId="16668481">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highlight w:val="none"/>
          <w:lang w:val="en-US" w:eastAsia="zh-CN"/>
        </w:rPr>
        <w:t>2025年我局部门整体支出绩效目标评价设定分数100分，实际本年绩效自评得分为99.17分，评级为：优。</w:t>
      </w:r>
    </w:p>
    <w:p w14:paraId="78EEDE80">
      <w:pPr>
        <w:keepNext w:val="0"/>
        <w:keepLines w:val="0"/>
        <w:pageBreakBefore w:val="0"/>
        <w:numPr>
          <w:ilvl w:val="0"/>
          <w:numId w:val="0"/>
        </w:numPr>
        <w:kinsoku/>
        <w:wordWrap/>
        <w:overflowPunct/>
        <w:topLinePunct w:val="0"/>
        <w:autoSpaceDN/>
        <w:bidi w:val="0"/>
        <w:spacing w:line="576" w:lineRule="exact"/>
        <w:ind w:left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部门整体支出绩效中存在问题及改进措施</w:t>
      </w:r>
    </w:p>
    <w:p w14:paraId="0349FA52">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（一）存在问题及原因</w:t>
      </w:r>
    </w:p>
    <w:p w14:paraId="4165AD57">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CN" w:bidi="ar-SA"/>
        </w:rPr>
      </w:pPr>
      <w:bookmarkStart w:id="0" w:name="_Toc5097"/>
      <w:r>
        <w:rPr>
          <w:rFonts w:hint="eastAsia" w:ascii="仿宋" w:hAnsi="仿宋" w:eastAsia="仿宋" w:cs="仿宋"/>
          <w:color w:val="000000"/>
          <w:kern w:val="2"/>
          <w:sz w:val="32"/>
          <w:szCs w:val="32"/>
          <w:lang w:val="en-US" w:eastAsia="zh-CN" w:bidi="ar-SA"/>
        </w:rPr>
        <w:t>1.存在超编现象</w:t>
      </w:r>
      <w:bookmarkEnd w:id="0"/>
    </w:p>
    <w:p w14:paraId="53FA22E8">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 w:bidi="ar-SA"/>
        </w:rPr>
      </w:pPr>
      <w:r>
        <w:rPr>
          <w:rFonts w:hint="eastAsia" w:ascii="仿宋" w:hAnsi="仿宋" w:eastAsia="仿宋" w:cs="仿宋"/>
          <w:color w:val="000000"/>
          <w:kern w:val="2"/>
          <w:sz w:val="32"/>
          <w:szCs w:val="32"/>
          <w:lang w:val="en-US" w:eastAsia="zh" w:bidi="ar-SA"/>
        </w:rPr>
        <w:t>市公安局核定编制285人，20</w:t>
      </w:r>
      <w:r>
        <w:rPr>
          <w:rFonts w:hint="eastAsia" w:ascii="仿宋" w:hAnsi="仿宋" w:eastAsia="仿宋" w:cs="仿宋"/>
          <w:color w:val="000000"/>
          <w:kern w:val="2"/>
          <w:sz w:val="32"/>
          <w:szCs w:val="32"/>
          <w:lang w:val="en-US" w:eastAsia="zh-CN" w:bidi="ar-SA"/>
        </w:rPr>
        <w:t>25</w:t>
      </w:r>
      <w:r>
        <w:rPr>
          <w:rFonts w:hint="eastAsia" w:ascii="仿宋" w:hAnsi="仿宋" w:eastAsia="仿宋" w:cs="仿宋"/>
          <w:color w:val="000000"/>
          <w:kern w:val="2"/>
          <w:sz w:val="32"/>
          <w:szCs w:val="32"/>
          <w:lang w:val="en-US" w:eastAsia="zh" w:bidi="ar-SA"/>
        </w:rPr>
        <w:t>年末在职人员</w:t>
      </w:r>
      <w:r>
        <w:rPr>
          <w:rFonts w:hint="eastAsia" w:ascii="仿宋" w:hAnsi="仿宋" w:eastAsia="仿宋" w:cs="仿宋"/>
          <w:color w:val="000000"/>
          <w:kern w:val="2"/>
          <w:sz w:val="32"/>
          <w:szCs w:val="32"/>
          <w:lang w:val="en-US" w:eastAsia="zh-CN" w:bidi="ar-SA"/>
        </w:rPr>
        <w:t>385</w:t>
      </w:r>
      <w:r>
        <w:rPr>
          <w:rFonts w:hint="eastAsia" w:ascii="仿宋" w:hAnsi="仿宋" w:eastAsia="仿宋" w:cs="仿宋"/>
          <w:color w:val="000000"/>
          <w:kern w:val="2"/>
          <w:sz w:val="32"/>
          <w:szCs w:val="32"/>
          <w:lang w:val="en-US" w:eastAsia="zh" w:bidi="ar-SA"/>
        </w:rPr>
        <w:t>人，在职人员控制率为</w:t>
      </w:r>
      <w:r>
        <w:rPr>
          <w:rFonts w:hint="eastAsia" w:ascii="仿宋" w:hAnsi="仿宋" w:eastAsia="仿宋" w:cs="仿宋"/>
          <w:color w:val="000000"/>
          <w:kern w:val="2"/>
          <w:sz w:val="32"/>
          <w:szCs w:val="32"/>
          <w:lang w:val="en-US" w:eastAsia="zh-CN" w:bidi="ar-SA"/>
        </w:rPr>
        <w:t>135.09</w:t>
      </w:r>
      <w:r>
        <w:rPr>
          <w:rFonts w:hint="eastAsia" w:ascii="仿宋" w:hAnsi="仿宋" w:eastAsia="仿宋" w:cs="仿宋"/>
          <w:color w:val="000000"/>
          <w:kern w:val="2"/>
          <w:sz w:val="32"/>
          <w:szCs w:val="32"/>
          <w:lang w:val="en-US" w:eastAsia="zh" w:bidi="ar-SA"/>
        </w:rPr>
        <w:t>%。实有人数与编制名额不匹配。</w:t>
      </w:r>
    </w:p>
    <w:p w14:paraId="60326328">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default" w:ascii="仿宋" w:hAnsi="仿宋" w:eastAsia="仿宋" w:cs="仿宋"/>
          <w:color w:val="000000"/>
          <w:kern w:val="2"/>
          <w:sz w:val="32"/>
          <w:szCs w:val="32"/>
          <w:lang w:val="en-US" w:eastAsia="zh-CN" w:bidi="ar-SA"/>
        </w:rPr>
      </w:pPr>
      <w:bookmarkStart w:id="1" w:name="_Toc627"/>
      <w:r>
        <w:rPr>
          <w:rFonts w:hint="eastAsia" w:ascii="仿宋" w:hAnsi="仿宋" w:eastAsia="仿宋" w:cs="仿宋"/>
          <w:color w:val="000000"/>
          <w:kern w:val="2"/>
          <w:sz w:val="32"/>
          <w:szCs w:val="32"/>
          <w:lang w:val="en-US" w:eastAsia="zh-CN" w:bidi="ar-SA"/>
        </w:rPr>
        <w:t>2.</w:t>
      </w:r>
      <w:r>
        <w:rPr>
          <w:rFonts w:hint="eastAsia" w:ascii="仿宋" w:hAnsi="仿宋" w:eastAsia="仿宋" w:cs="仿宋"/>
          <w:color w:val="000000"/>
          <w:kern w:val="2"/>
          <w:sz w:val="32"/>
          <w:szCs w:val="32"/>
          <w:lang w:val="en-US" w:eastAsia="zh" w:bidi="ar-SA"/>
        </w:rPr>
        <w:t>预算</w:t>
      </w:r>
      <w:r>
        <w:rPr>
          <w:rFonts w:hint="eastAsia" w:ascii="仿宋" w:hAnsi="仿宋" w:eastAsia="仿宋" w:cs="仿宋"/>
          <w:color w:val="000000"/>
          <w:kern w:val="2"/>
          <w:sz w:val="32"/>
          <w:szCs w:val="32"/>
          <w:lang w:val="en-US" w:eastAsia="zh-CN" w:bidi="ar-SA"/>
        </w:rPr>
        <w:t>执行</w:t>
      </w:r>
      <w:bookmarkEnd w:id="1"/>
      <w:r>
        <w:rPr>
          <w:rFonts w:hint="eastAsia" w:ascii="仿宋" w:hAnsi="仿宋" w:eastAsia="仿宋" w:cs="仿宋"/>
          <w:color w:val="000000"/>
          <w:kern w:val="2"/>
          <w:sz w:val="32"/>
          <w:szCs w:val="32"/>
          <w:lang w:val="en-US" w:eastAsia="zh-CN" w:bidi="ar-SA"/>
        </w:rPr>
        <w:t>方面</w:t>
      </w:r>
    </w:p>
    <w:p w14:paraId="69E4044A">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 w:bidi="ar-SA"/>
        </w:rPr>
        <w:t>市公安局</w:t>
      </w:r>
      <w:r>
        <w:rPr>
          <w:rFonts w:hint="eastAsia" w:ascii="仿宋" w:hAnsi="仿宋" w:eastAsia="仿宋" w:cs="仿宋"/>
          <w:color w:val="000000"/>
          <w:kern w:val="2"/>
          <w:sz w:val="32"/>
          <w:szCs w:val="32"/>
          <w:lang w:val="en-US" w:eastAsia="zh-CN" w:bidi="ar-SA"/>
        </w:rPr>
        <w:t>2025年一般公共预算</w:t>
      </w:r>
      <w:r>
        <w:rPr>
          <w:rFonts w:hint="eastAsia" w:ascii="仿宋" w:hAnsi="仿宋" w:eastAsia="仿宋" w:cs="仿宋"/>
          <w:color w:val="000000"/>
          <w:kern w:val="2"/>
          <w:sz w:val="32"/>
          <w:szCs w:val="32"/>
          <w:lang w:val="en-US" w:eastAsia="zh" w:bidi="ar-SA"/>
        </w:rPr>
        <w:t>全年数</w:t>
      </w:r>
      <w:r>
        <w:rPr>
          <w:rFonts w:hint="eastAsia" w:ascii="仿宋" w:hAnsi="仿宋" w:eastAsia="仿宋" w:cs="仿宋"/>
          <w:kern w:val="2"/>
          <w:sz w:val="32"/>
          <w:szCs w:val="32"/>
          <w:lang w:val="en-US" w:eastAsia="zh-CN" w:bidi="ar-SA"/>
        </w:rPr>
        <w:t>227468203.94</w:t>
      </w:r>
      <w:r>
        <w:rPr>
          <w:rFonts w:hint="eastAsia" w:ascii="仿宋" w:hAnsi="仿宋" w:eastAsia="仿宋" w:cs="仿宋"/>
          <w:color w:val="000000"/>
          <w:kern w:val="2"/>
          <w:sz w:val="32"/>
          <w:szCs w:val="32"/>
          <w:lang w:val="en-US" w:eastAsia="zh" w:bidi="ar-SA"/>
        </w:rPr>
        <w:t>元，预算完成数</w:t>
      </w:r>
      <w:r>
        <w:rPr>
          <w:rFonts w:hint="eastAsia" w:ascii="仿宋" w:hAnsi="仿宋" w:eastAsia="仿宋" w:cs="仿宋"/>
          <w:kern w:val="2"/>
          <w:sz w:val="32"/>
          <w:szCs w:val="32"/>
          <w:lang w:val="en-US" w:eastAsia="zh-CN" w:bidi="ar-SA"/>
        </w:rPr>
        <w:t>208670726.45</w:t>
      </w:r>
      <w:r>
        <w:rPr>
          <w:rFonts w:hint="eastAsia" w:ascii="仿宋" w:hAnsi="仿宋" w:eastAsia="仿宋" w:cs="仿宋"/>
          <w:color w:val="000000"/>
          <w:kern w:val="2"/>
          <w:sz w:val="32"/>
          <w:szCs w:val="32"/>
          <w:lang w:val="en-US" w:eastAsia="zh" w:bidi="ar-SA"/>
        </w:rPr>
        <w:t>万元</w:t>
      </w:r>
      <w:r>
        <w:rPr>
          <w:rFonts w:hint="eastAsia" w:ascii="仿宋" w:hAnsi="仿宋" w:eastAsia="仿宋" w:cs="仿宋"/>
          <w:color w:val="000000"/>
          <w:kern w:val="2"/>
          <w:sz w:val="32"/>
          <w:szCs w:val="32"/>
          <w:lang w:val="en-US" w:eastAsia="zh-CN" w:bidi="ar-SA"/>
        </w:rPr>
        <w:t>，预算</w:t>
      </w:r>
      <w:r>
        <w:rPr>
          <w:rFonts w:hint="eastAsia" w:ascii="仿宋" w:hAnsi="仿宋" w:eastAsia="仿宋" w:cs="仿宋"/>
          <w:color w:val="000000"/>
          <w:kern w:val="2"/>
          <w:sz w:val="32"/>
          <w:szCs w:val="32"/>
          <w:lang w:val="en-US" w:eastAsia="zh" w:bidi="ar-SA"/>
        </w:rPr>
        <w:t>完成率为</w:t>
      </w:r>
      <w:r>
        <w:rPr>
          <w:rFonts w:hint="eastAsia" w:ascii="仿宋" w:hAnsi="仿宋" w:eastAsia="仿宋" w:cs="仿宋"/>
          <w:color w:val="000000"/>
          <w:kern w:val="2"/>
          <w:sz w:val="32"/>
          <w:szCs w:val="32"/>
          <w:lang w:val="en-US" w:eastAsia="zh-CN" w:bidi="ar-SA"/>
        </w:rPr>
        <w:t>91.74</w:t>
      </w:r>
      <w:r>
        <w:rPr>
          <w:rFonts w:hint="eastAsia" w:ascii="仿宋" w:hAnsi="仿宋" w:eastAsia="仿宋" w:cs="仿宋"/>
          <w:color w:val="000000"/>
          <w:kern w:val="2"/>
          <w:sz w:val="32"/>
          <w:szCs w:val="32"/>
          <w:lang w:val="en-US" w:eastAsia="zh" w:bidi="ar-SA"/>
        </w:rPr>
        <w:t>%</w:t>
      </w:r>
      <w:r>
        <w:rPr>
          <w:rFonts w:hint="eastAsia" w:ascii="仿宋" w:hAnsi="仿宋" w:eastAsia="仿宋" w:cs="仿宋"/>
          <w:color w:val="000000"/>
          <w:kern w:val="2"/>
          <w:sz w:val="32"/>
          <w:szCs w:val="32"/>
          <w:lang w:val="en-US" w:eastAsia="zh-CN" w:bidi="ar-SA"/>
        </w:rPr>
        <w:t>，资金执行进度、完成率仍有进步空间。</w:t>
      </w:r>
    </w:p>
    <w:p w14:paraId="2F6CF91F">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（二）、改进措施</w:t>
      </w:r>
    </w:p>
    <w:p w14:paraId="40519385">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CN" w:bidi="ar-SA"/>
        </w:rPr>
      </w:pPr>
      <w:bookmarkStart w:id="2" w:name="_Toc21316"/>
      <w:r>
        <w:rPr>
          <w:rFonts w:hint="eastAsia" w:ascii="仿宋" w:hAnsi="仿宋" w:eastAsia="仿宋" w:cs="仿宋"/>
          <w:color w:val="000000"/>
          <w:kern w:val="2"/>
          <w:sz w:val="32"/>
          <w:szCs w:val="32"/>
          <w:lang w:val="en-US" w:eastAsia="zh-CN" w:bidi="ar-SA"/>
        </w:rPr>
        <w:t>1.人员编制方面</w:t>
      </w:r>
      <w:bookmarkEnd w:id="2"/>
    </w:p>
    <w:p w14:paraId="7516B595">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 w:bidi="ar-SA"/>
        </w:rPr>
      </w:pPr>
      <w:r>
        <w:rPr>
          <w:rFonts w:hint="eastAsia" w:ascii="仿宋" w:hAnsi="仿宋" w:eastAsia="仿宋" w:cs="仿宋"/>
          <w:color w:val="000000"/>
          <w:kern w:val="2"/>
          <w:sz w:val="32"/>
          <w:szCs w:val="32"/>
          <w:lang w:val="en-US" w:eastAsia="zh" w:bidi="ar-SA"/>
        </w:rPr>
        <w:t>严格实行编内进人。机关事业单位补充人员必须在编制限额内申报用人计划，严格控制超编进人，实行编制动态调整机制。</w:t>
      </w:r>
    </w:p>
    <w:p w14:paraId="3F652D1F">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 w:bidi="ar-SA"/>
        </w:rPr>
      </w:pPr>
      <w:bookmarkStart w:id="3" w:name="_Toc16928"/>
      <w:r>
        <w:rPr>
          <w:rFonts w:hint="eastAsia" w:ascii="仿宋" w:hAnsi="仿宋" w:eastAsia="仿宋" w:cs="仿宋"/>
          <w:color w:val="000000"/>
          <w:kern w:val="2"/>
          <w:sz w:val="32"/>
          <w:szCs w:val="32"/>
          <w:lang w:val="en-US" w:eastAsia="zh-CN" w:bidi="ar-SA"/>
        </w:rPr>
        <w:t>2.</w:t>
      </w:r>
      <w:r>
        <w:rPr>
          <w:rFonts w:hint="eastAsia" w:ascii="仿宋" w:hAnsi="仿宋" w:eastAsia="仿宋" w:cs="仿宋"/>
          <w:color w:val="000000"/>
          <w:kern w:val="2"/>
          <w:sz w:val="32"/>
          <w:szCs w:val="32"/>
          <w:lang w:val="en-US" w:eastAsia="zh" w:bidi="ar-SA"/>
        </w:rPr>
        <w:t>预算</w:t>
      </w:r>
      <w:r>
        <w:rPr>
          <w:rFonts w:hint="eastAsia" w:ascii="仿宋" w:hAnsi="仿宋" w:eastAsia="仿宋" w:cs="仿宋"/>
          <w:color w:val="000000"/>
          <w:kern w:val="2"/>
          <w:sz w:val="32"/>
          <w:szCs w:val="32"/>
          <w:lang w:val="en-US" w:eastAsia="zh-CN" w:bidi="ar-SA"/>
        </w:rPr>
        <w:t>执行方面</w:t>
      </w:r>
      <w:bookmarkEnd w:id="3"/>
    </w:p>
    <w:p w14:paraId="7527A8E8">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 w:bidi="ar-SA"/>
        </w:rPr>
      </w:pPr>
      <w:r>
        <w:rPr>
          <w:rFonts w:hint="eastAsia" w:ascii="仿宋" w:hAnsi="仿宋" w:eastAsia="仿宋" w:cs="仿宋"/>
          <w:color w:val="000000"/>
          <w:kern w:val="2"/>
          <w:sz w:val="32"/>
          <w:szCs w:val="32"/>
          <w:lang w:val="en-US" w:eastAsia="zh-CN" w:bidi="ar-SA"/>
        </w:rPr>
        <w:t>（1）</w:t>
      </w:r>
      <w:r>
        <w:rPr>
          <w:rFonts w:hint="eastAsia" w:ascii="仿宋" w:hAnsi="仿宋" w:eastAsia="仿宋" w:cs="仿宋"/>
          <w:color w:val="000000"/>
          <w:kern w:val="2"/>
          <w:sz w:val="32"/>
          <w:szCs w:val="32"/>
          <w:lang w:val="en-US" w:eastAsia="zh" w:bidi="ar-SA"/>
        </w:rPr>
        <w:t>提高预算编制的准确性，参照往年收支情况，结合经济社会发展和政策变化等增减变动因素，实事求是、科学合理地编制预算，提高预算执行效率。</w:t>
      </w:r>
    </w:p>
    <w:p w14:paraId="74E87A74">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 w:bidi="ar-SA"/>
        </w:rPr>
      </w:pPr>
      <w:r>
        <w:rPr>
          <w:rFonts w:hint="eastAsia" w:ascii="仿宋" w:hAnsi="仿宋" w:eastAsia="仿宋" w:cs="仿宋"/>
          <w:color w:val="000000"/>
          <w:kern w:val="2"/>
          <w:sz w:val="32"/>
          <w:szCs w:val="32"/>
          <w:lang w:val="en-US" w:eastAsia="zh-CN" w:bidi="ar-SA"/>
        </w:rPr>
        <w:t>（2）</w:t>
      </w:r>
      <w:r>
        <w:rPr>
          <w:rFonts w:hint="eastAsia" w:ascii="仿宋" w:hAnsi="仿宋" w:eastAsia="仿宋" w:cs="仿宋"/>
          <w:color w:val="000000"/>
          <w:kern w:val="2"/>
          <w:sz w:val="32"/>
          <w:szCs w:val="32"/>
          <w:lang w:val="en-US" w:eastAsia="zh" w:bidi="ar-SA"/>
        </w:rPr>
        <w:t>应履行好编制本级预算职责，规范预算编制工作，加强对《预算法》的学习，将全部收入纳入预算，确保预算的完整性。</w:t>
      </w:r>
    </w:p>
    <w:p w14:paraId="137C84BE">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color w:val="000000"/>
          <w:kern w:val="2"/>
          <w:sz w:val="32"/>
          <w:szCs w:val="32"/>
          <w:lang w:val="en-US" w:eastAsia="zh" w:bidi="ar-SA"/>
        </w:rPr>
      </w:pPr>
      <w:r>
        <w:rPr>
          <w:rFonts w:hint="eastAsia" w:ascii="仿宋" w:hAnsi="仿宋" w:eastAsia="仿宋" w:cs="仿宋"/>
          <w:color w:val="000000"/>
          <w:kern w:val="2"/>
          <w:sz w:val="32"/>
          <w:szCs w:val="32"/>
          <w:lang w:val="en-US" w:eastAsia="zh-CN" w:bidi="ar-SA"/>
        </w:rPr>
        <w:t>（3）</w:t>
      </w:r>
      <w:r>
        <w:rPr>
          <w:rFonts w:hint="eastAsia" w:ascii="仿宋" w:hAnsi="仿宋" w:eastAsia="仿宋" w:cs="仿宋"/>
          <w:color w:val="000000"/>
          <w:kern w:val="2"/>
          <w:sz w:val="32"/>
          <w:szCs w:val="32"/>
          <w:lang w:val="en-US" w:eastAsia="zh" w:bidi="ar-SA"/>
        </w:rPr>
        <w:t>要做好编制前的准备工作，政府采购预算是部门预算的重要组成部分，注重对上年度政府采购预算执行情况进行认真审核，深入</w:t>
      </w:r>
      <w:r>
        <w:rPr>
          <w:rFonts w:hint="eastAsia" w:ascii="仿宋" w:hAnsi="仿宋" w:eastAsia="仿宋" w:cs="仿宋"/>
          <w:color w:val="000000"/>
          <w:kern w:val="2"/>
          <w:sz w:val="32"/>
          <w:szCs w:val="32"/>
          <w:lang w:val="en-US" w:eastAsia="zh-CN" w:bidi="ar-SA"/>
        </w:rPr>
        <w:t>了解</w:t>
      </w:r>
      <w:r>
        <w:rPr>
          <w:rFonts w:hint="eastAsia" w:ascii="仿宋" w:hAnsi="仿宋" w:eastAsia="仿宋" w:cs="仿宋"/>
          <w:color w:val="000000"/>
          <w:kern w:val="2"/>
          <w:sz w:val="32"/>
          <w:szCs w:val="32"/>
          <w:lang w:val="en-US" w:eastAsia="zh" w:bidi="ar-SA"/>
        </w:rPr>
        <w:t>并</w:t>
      </w:r>
      <w:r>
        <w:rPr>
          <w:rFonts w:hint="eastAsia" w:ascii="仿宋" w:hAnsi="仿宋" w:eastAsia="仿宋" w:cs="仿宋"/>
          <w:color w:val="000000"/>
          <w:kern w:val="2"/>
          <w:sz w:val="32"/>
          <w:szCs w:val="32"/>
          <w:lang w:val="en-US" w:eastAsia="zh-CN" w:bidi="ar-SA"/>
        </w:rPr>
        <w:t>掌握</w:t>
      </w:r>
      <w:r>
        <w:rPr>
          <w:rFonts w:hint="eastAsia" w:ascii="仿宋" w:hAnsi="仿宋" w:eastAsia="仿宋" w:cs="仿宋"/>
          <w:color w:val="000000"/>
          <w:kern w:val="2"/>
          <w:sz w:val="32"/>
          <w:szCs w:val="32"/>
          <w:lang w:val="en-US" w:eastAsia="zh" w:bidi="ar-SA"/>
        </w:rPr>
        <w:t>资产情况、管理情况，确保预算编制的严谨性。</w:t>
      </w:r>
    </w:p>
    <w:p w14:paraId="1435F154">
      <w:pPr>
        <w:keepNext w:val="0"/>
        <w:keepLines w:val="0"/>
        <w:pageBreakBefore w:val="0"/>
        <w:kinsoku/>
        <w:wordWrap/>
        <w:overflowPunct/>
        <w:topLinePunct w:val="0"/>
        <w:autoSpaceDN/>
        <w:bidi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14:paraId="7C4B29A1">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SA"/>
        </w:rPr>
        <w:t>一）挂钩下年预算安排</w:t>
      </w:r>
    </w:p>
    <w:p w14:paraId="5731EC52">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1.对绩效优良、执行高效的项目，在下年预算安排时优先保障、适度倾斜。</w:t>
      </w:r>
    </w:p>
    <w:p w14:paraId="3893B4B9">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2.对绩效一般、进度滞后的项目，督促整改、从紧安排。</w:t>
      </w:r>
    </w:p>
    <w:p w14:paraId="5D60F01E">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left="638" w:leftChars="304" w:right="0" w:firstLine="0" w:firstLineChars="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3.对低效无效、长期沉淀资金项目，压减额度或者取消立项（二）完善绩效与业务管理</w:t>
      </w:r>
    </w:p>
    <w:p w14:paraId="4C202BF3">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1.细化绩效目标与指标，提升科学性、可衡量性。</w:t>
      </w:r>
    </w:p>
    <w:p w14:paraId="71F87B22">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2.加强绩效运行监控，及时预警纠偏。</w:t>
      </w:r>
    </w:p>
    <w:p w14:paraId="3AF993FE">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3.推动业务与财务融合，以预算绩效倒逼履职提质。</w:t>
      </w:r>
    </w:p>
    <w:p w14:paraId="09B611F8">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（三）公开情况</w:t>
      </w:r>
    </w:p>
    <w:p w14:paraId="070BD3C4">
      <w:pPr>
        <w:keepNext w:val="0"/>
        <w:keepLines w:val="0"/>
        <w:pageBreakBefore w:val="0"/>
        <w:widowControl w:val="0"/>
        <w:suppressLineNumbers w:val="0"/>
        <w:kinsoku/>
        <w:wordWrap/>
        <w:overflowPunct/>
        <w:topLinePunct w:val="0"/>
        <w:autoSpaceDE w:val="0"/>
        <w:autoSpaceDN/>
        <w:bidi w:val="0"/>
        <w:adjustRightInd/>
        <w:snapToGrid/>
        <w:spacing w:before="165" w:beforeLines="50" w:beforeAutospacing="0" w:after="165" w:afterLines="50" w:afterAutospacing="0" w:line="576" w:lineRule="exact"/>
        <w:ind w:right="0" w:firstLine="640" w:firstLineChars="200"/>
        <w:jc w:val="left"/>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2025年部门整体绩效自评报告，我局将在进领导审批签字后，按照公开程序，在20日内向社会公开（涉密项目除外），自觉接受社会各界监督。</w:t>
      </w:r>
    </w:p>
    <w:sectPr>
      <w:headerReference r:id="rId3" w:type="default"/>
      <w:footerReference r:id="rId5" w:type="default"/>
      <w:headerReference r:id="rId4" w:type="even"/>
      <w:footerReference r:id="rId6" w:type="even"/>
      <w:pgSz w:w="11907" w:h="16840"/>
      <w:pgMar w:top="1247" w:right="1400" w:bottom="1089" w:left="1559" w:header="851" w:footer="992" w:gutter="0"/>
      <w:paperSrc w:first="15" w:other="15"/>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964E">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6BD4CCA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511B">
    <w:pPr>
      <w:pStyle w:val="6"/>
      <w:framePr w:wrap="around" w:vAnchor="text" w:hAnchor="margin" w:xAlign="center" w:y="1"/>
      <w:rPr>
        <w:rStyle w:val="11"/>
      </w:rPr>
    </w:pPr>
    <w:r>
      <w:fldChar w:fldCharType="begin"/>
    </w:r>
    <w:r>
      <w:rPr>
        <w:rStyle w:val="11"/>
      </w:rPr>
      <w:instrText xml:space="preserve">PAGE  </w:instrText>
    </w:r>
    <w:r>
      <w:fldChar w:fldCharType="end"/>
    </w:r>
  </w:p>
  <w:p w14:paraId="2486561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82A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31C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0F5BD"/>
    <w:multiLevelType w:val="singleLevel"/>
    <w:tmpl w:val="6310F5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C055A"/>
    <w:rsid w:val="08D359F5"/>
    <w:rsid w:val="139F594F"/>
    <w:rsid w:val="151B2373"/>
    <w:rsid w:val="15EC055A"/>
    <w:rsid w:val="19445F08"/>
    <w:rsid w:val="1D5D45C4"/>
    <w:rsid w:val="2CB00C74"/>
    <w:rsid w:val="32585F5F"/>
    <w:rsid w:val="35491FE1"/>
    <w:rsid w:val="3852450B"/>
    <w:rsid w:val="39C93661"/>
    <w:rsid w:val="3AE8373F"/>
    <w:rsid w:val="3DBB70AA"/>
    <w:rsid w:val="3E99447C"/>
    <w:rsid w:val="41D754BF"/>
    <w:rsid w:val="50DC73FC"/>
    <w:rsid w:val="5549757F"/>
    <w:rsid w:val="5563098A"/>
    <w:rsid w:val="59703695"/>
    <w:rsid w:val="59A0095D"/>
    <w:rsid w:val="6A740836"/>
    <w:rsid w:val="6B226AAA"/>
    <w:rsid w:val="709335E5"/>
    <w:rsid w:val="7AC5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4">
    <w:name w:val="Normal Indent"/>
    <w:basedOn w:val="1"/>
    <w:next w:val="5"/>
    <w:uiPriority w:val="0"/>
    <w:pPr>
      <w:ind w:firstLine="200" w:firstLineChars="200"/>
    </w:pPr>
  </w:style>
  <w:style w:type="paragraph" w:styleId="5">
    <w:name w:val="Body Text"/>
    <w:basedOn w:val="1"/>
    <w:next w:val="1"/>
    <w:qFormat/>
    <w:uiPriority w:val="0"/>
    <w:pPr>
      <w:spacing w:before="0" w:beforeLines="0" w:after="140" w:afterLines="0" w:line="276" w:lineRule="auto"/>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uiPriority w:val="0"/>
    <w:pPr>
      <w:ind w:firstLine="420" w:firstLineChars="100"/>
    </w:pPr>
  </w:style>
  <w:style w:type="character" w:styleId="11">
    <w:name w:val="page number"/>
    <w:basedOn w:val="10"/>
    <w:uiPriority w:val="0"/>
  </w:style>
  <w:style w:type="paragraph" w:customStyle="1" w:styleId="12">
    <w:name w:val="正文文本 21"/>
    <w:basedOn w:val="1"/>
    <w:uiPriority w:val="0"/>
    <w:pPr>
      <w:spacing w:after="120" w:afterLines="0" w:line="48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2026-04-10T09:48:00Z</dcterms:created>
  <dc:creator>Administrator</dc:creator>
  <cp:lastModifiedBy>Administrator</cp:lastModifiedBy>
  <cp:lastPrinted>2026-05-13T02:38:56Z</cp:lastPrinted>
  <dcterms:modified xsi:type="dcterms:W3CDTF">2026-05-13T02:40:52Z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33DB2DB4A2CE4CAD937990BD1EA49FD3_13</vt:lpwstr>
  </property>
  <property fmtid="{D5CDD505-2E9C-101B-9397-08002B2CF9AE}" pid="4" name="KSOTemplateDocerSaveRecord">
    <vt:lpwstr>eyJoZGlkIjoiMGM2Y2JhY2ZhNWNjNzVhOGU3YTZkNTAxNTlkOTNiN2EifQ==</vt:lpwstr>
  </property>
</Properties>
</file>